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C15E134"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C05217">
        <w:rPr>
          <w:rFonts w:asciiTheme="majorHAnsi" w:eastAsia="Malgun Gothic" w:hAnsiTheme="majorHAnsi" w:cstheme="majorHAnsi"/>
          <w:b/>
          <w:bCs/>
          <w:spacing w:val="-7"/>
          <w:sz w:val="32"/>
          <w:szCs w:val="32"/>
          <w:lang w:eastAsia="en-GB"/>
        </w:rPr>
        <w:t>S</w:t>
      </w:r>
      <w:r w:rsidR="002E70BE" w:rsidRPr="00C05217">
        <w:rPr>
          <w:rFonts w:asciiTheme="majorHAnsi" w:eastAsia="Malgun Gothic" w:hAnsiTheme="majorHAnsi" w:cstheme="majorHAnsi"/>
          <w:b/>
          <w:bCs/>
          <w:spacing w:val="-7"/>
          <w:sz w:val="32"/>
          <w:szCs w:val="32"/>
          <w:lang w:eastAsia="en-GB"/>
        </w:rPr>
        <w:t xml:space="preserve">ection </w:t>
      </w:r>
      <w:bookmarkStart w:id="0" w:name="_Hlk199776717"/>
      <w:r w:rsidR="00FB287A" w:rsidRPr="00C05217">
        <w:rPr>
          <w:rFonts w:asciiTheme="majorHAnsi" w:eastAsia="Malgun Gothic" w:hAnsiTheme="majorHAnsi" w:cstheme="majorHAnsi"/>
          <w:b/>
          <w:bCs/>
          <w:spacing w:val="-7"/>
          <w:sz w:val="32"/>
          <w:szCs w:val="32"/>
          <w:lang w:eastAsia="en-GB"/>
        </w:rPr>
        <w:t>expert e</w:t>
      </w:r>
      <w:r w:rsidR="00F14C40" w:rsidRPr="00C05217">
        <w:rPr>
          <w:rFonts w:asciiTheme="majorHAnsi" w:eastAsia="Malgun Gothic" w:hAnsiTheme="majorHAnsi" w:cstheme="majorHAnsi"/>
          <w:b/>
          <w:bCs/>
          <w:spacing w:val="-7"/>
          <w:sz w:val="32"/>
          <w:szCs w:val="32"/>
          <w:lang w:eastAsia="en-GB"/>
        </w:rPr>
        <w:t xml:space="preserve">n </w:t>
      </w:r>
      <w:r w:rsidR="00F14C40" w:rsidRPr="00E8130B">
        <w:rPr>
          <w:rFonts w:asciiTheme="majorHAnsi" w:eastAsia="Malgun Gothic" w:hAnsiTheme="majorHAnsi" w:cstheme="majorHAnsi"/>
          <w:b/>
          <w:bCs/>
          <w:spacing w:val="-7"/>
          <w:sz w:val="32"/>
          <w:szCs w:val="32"/>
          <w:lang w:eastAsia="en-GB"/>
        </w:rPr>
        <w:t>aménagement du territoire</w:t>
      </w:r>
      <w:r w:rsidR="00566517" w:rsidRPr="00E8130B">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MedProgramme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5147A3E4"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4A2199">
        <w:rPr>
          <w:rFonts w:asciiTheme="majorHAnsi" w:eastAsia="Malgun Gothic" w:hAnsiTheme="majorHAnsi" w:cstheme="majorHAnsi"/>
          <w:spacing w:val="-7"/>
          <w:sz w:val="22"/>
          <w:szCs w:val="22"/>
          <w:lang w:eastAsia="en-GB"/>
        </w:rPr>
        <w:t>9</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739D43A5"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463A0B">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Kraj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est estimée</w:t>
      </w:r>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(MedProgramme),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e du FEM MedProgramme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MedProgramme s'appuie sur le succès des projets MedPartnership et ClimVar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76A4AE34" w14:textId="75D8FCCA" w:rsidR="0058612B"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58612B" w:rsidRPr="007E2159">
        <w:rPr>
          <w:rFonts w:asciiTheme="majorHAnsi" w:hAnsiTheme="majorHAnsi" w:cstheme="majorHAnsi"/>
          <w:sz w:val="22"/>
          <w:szCs w:val="22"/>
        </w:rPr>
        <w:t xml:space="preserve">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  </w:t>
      </w:r>
    </w:p>
    <w:p w14:paraId="264F4421" w14:textId="244B450C"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MedProgramme,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82BCF3F"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FE4CD3">
        <w:rPr>
          <w:rFonts w:asciiTheme="majorHAnsi" w:hAnsiTheme="majorHAnsi" w:cstheme="majorHAnsi"/>
          <w:sz w:val="22"/>
          <w:szCs w:val="22"/>
        </w:rPr>
        <w:t>législati</w:t>
      </w:r>
      <w:r w:rsidR="00340DD4">
        <w:rPr>
          <w:rFonts w:asciiTheme="majorHAnsi" w:hAnsiTheme="majorHAnsi" w:cstheme="majorHAnsi"/>
          <w:sz w:val="22"/>
          <w:szCs w:val="22"/>
        </w:rPr>
        <w:t>ve</w:t>
      </w:r>
      <w:r w:rsidR="00FE4CD3">
        <w:rPr>
          <w:rFonts w:asciiTheme="majorHAnsi" w:hAnsiTheme="majorHAnsi" w:cstheme="majorHAnsi"/>
          <w:sz w:val="22"/>
          <w:szCs w:val="22"/>
        </w:rPr>
        <w:t xml:space="preserve">s et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Mission II : Mise en place d’un dispositif de suivi-évaluation et de reporting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remarquables (les SIBEs,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…etc</w:t>
      </w:r>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 xml:space="preserve">-spots telluriques et les hot-spots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479846D5" w14:textId="69A2AAC5" w:rsidR="007D55D6" w:rsidRPr="006259C0" w:rsidRDefault="00182E4F" w:rsidP="006259C0">
      <w:pPr>
        <w:pStyle w:val="ListParagraph"/>
        <w:numPr>
          <w:ilvl w:val="0"/>
          <w:numId w:val="8"/>
        </w:numPr>
        <w:jc w:val="both"/>
        <w:rPr>
          <w:rFonts w:asciiTheme="majorHAnsi" w:hAnsiTheme="majorHAnsi" w:cstheme="majorHAnsi"/>
          <w:strike/>
          <w:color w:val="C00000"/>
          <w:sz w:val="22"/>
          <w:szCs w:val="22"/>
        </w:rPr>
      </w:pPr>
      <w:r w:rsidRPr="001C79A5">
        <w:rPr>
          <w:rFonts w:asciiTheme="majorHAnsi" w:hAnsiTheme="majorHAnsi" w:cstheme="majorHAnsi"/>
          <w:sz w:val="22"/>
          <w:szCs w:val="22"/>
        </w:rPr>
        <w:t xml:space="preserve">Le contractant </w:t>
      </w:r>
      <w:r w:rsidR="00957752">
        <w:rPr>
          <w:rFonts w:asciiTheme="majorHAnsi" w:hAnsiTheme="majorHAnsi" w:cstheme="majorHAnsi"/>
          <w:sz w:val="22"/>
          <w:szCs w:val="22"/>
        </w:rPr>
        <w:t xml:space="preserve">participera dans le travail collectif du groupe d’experts </w:t>
      </w:r>
      <w:r w:rsidR="00957752" w:rsidRPr="001C79A5">
        <w:rPr>
          <w:rFonts w:asciiTheme="majorHAnsi" w:hAnsiTheme="majorHAnsi" w:cstheme="majorHAnsi"/>
          <w:sz w:val="22"/>
          <w:szCs w:val="22"/>
        </w:rPr>
        <w:t>mandatés pour l’exécution des prestations prévues dans le cadre du présent appel d’offres</w:t>
      </w:r>
      <w:r w:rsidR="00957752">
        <w:rPr>
          <w:rFonts w:asciiTheme="majorHAnsi" w:hAnsiTheme="majorHAnsi" w:cstheme="majorHAnsi"/>
          <w:sz w:val="22"/>
          <w:szCs w:val="22"/>
        </w:rPr>
        <w:t xml:space="preserve">, </w:t>
      </w:r>
      <w:r w:rsidR="002505A3" w:rsidRPr="001C79A5">
        <w:rPr>
          <w:rFonts w:asciiTheme="majorHAnsi" w:hAnsiTheme="majorHAnsi" w:cstheme="majorHAnsi"/>
          <w:sz w:val="22"/>
          <w:szCs w:val="22"/>
        </w:rPr>
        <w:t>coord</w:t>
      </w:r>
      <w:r w:rsidR="00957752">
        <w:rPr>
          <w:rFonts w:asciiTheme="majorHAnsi" w:hAnsiTheme="majorHAnsi" w:cstheme="majorHAnsi"/>
          <w:sz w:val="22"/>
          <w:szCs w:val="22"/>
        </w:rPr>
        <w:t>onné par l’expert environnementaliste,</w:t>
      </w:r>
      <w:r w:rsidR="002505A3" w:rsidRPr="001C79A5">
        <w:rPr>
          <w:rFonts w:asciiTheme="majorHAnsi" w:hAnsiTheme="majorHAnsi" w:cstheme="majorHAnsi"/>
          <w:sz w:val="22"/>
          <w:szCs w:val="22"/>
        </w:rPr>
        <w:t xml:space="preserve"> </w:t>
      </w:r>
      <w:r w:rsidR="00FE38D5" w:rsidRPr="00743F23">
        <w:rPr>
          <w:rFonts w:asciiTheme="majorHAnsi" w:hAnsiTheme="majorHAnsi" w:cstheme="majorHAnsi"/>
          <w:sz w:val="22"/>
          <w:szCs w:val="22"/>
        </w:rPr>
        <w:t>qui</w:t>
      </w:r>
      <w:r w:rsidR="002505A3" w:rsidRPr="00743F23">
        <w:rPr>
          <w:rFonts w:asciiTheme="majorHAnsi" w:hAnsiTheme="majorHAnsi" w:cstheme="majorHAnsi"/>
          <w:sz w:val="22"/>
          <w:szCs w:val="22"/>
        </w:rPr>
        <w:t xml:space="preserve"> veille</w:t>
      </w:r>
      <w:r w:rsidR="00FE38D5" w:rsidRPr="00743F23">
        <w:rPr>
          <w:rFonts w:asciiTheme="majorHAnsi" w:hAnsiTheme="majorHAnsi" w:cstheme="majorHAnsi"/>
          <w:sz w:val="22"/>
          <w:szCs w:val="22"/>
        </w:rPr>
        <w:t>ra</w:t>
      </w:r>
      <w:r w:rsidR="002505A3" w:rsidRPr="00743F23">
        <w:rPr>
          <w:rFonts w:asciiTheme="majorHAnsi" w:hAnsiTheme="majorHAnsi" w:cstheme="majorHAnsi"/>
          <w:sz w:val="22"/>
          <w:szCs w:val="22"/>
        </w:rPr>
        <w:t xml:space="preserve"> à l’harmonisation et</w:t>
      </w:r>
      <w:r w:rsidR="007D55D6" w:rsidRPr="00743F23">
        <w:rPr>
          <w:rFonts w:asciiTheme="majorHAnsi" w:hAnsiTheme="majorHAnsi" w:cstheme="majorHAnsi"/>
          <w:sz w:val="22"/>
          <w:szCs w:val="22"/>
        </w:rPr>
        <w:t xml:space="preserve"> </w:t>
      </w:r>
      <w:r w:rsidR="002505A3" w:rsidRPr="00743F23">
        <w:rPr>
          <w:rFonts w:asciiTheme="majorHAnsi" w:hAnsiTheme="majorHAnsi" w:cstheme="majorHAnsi"/>
          <w:sz w:val="22"/>
          <w:szCs w:val="22"/>
        </w:rPr>
        <w:t>l’intégration de l’ensemble des</w:t>
      </w:r>
      <w:r w:rsidR="007D55D6" w:rsidRPr="00743F23">
        <w:rPr>
          <w:rFonts w:asciiTheme="majorHAnsi" w:hAnsiTheme="majorHAnsi" w:cstheme="majorHAnsi"/>
          <w:sz w:val="22"/>
          <w:szCs w:val="22"/>
        </w:rPr>
        <w:t xml:space="preserve"> documents,</w:t>
      </w:r>
      <w:r w:rsidR="002505A3" w:rsidRPr="00743F23">
        <w:rPr>
          <w:rFonts w:asciiTheme="majorHAnsi" w:hAnsiTheme="majorHAnsi" w:cstheme="majorHAnsi"/>
          <w:sz w:val="22"/>
          <w:szCs w:val="22"/>
        </w:rPr>
        <w:t xml:space="preserve"> actions et mesures élaborés </w:t>
      </w:r>
      <w:r w:rsidR="00957752" w:rsidRPr="00743F23">
        <w:rPr>
          <w:rFonts w:asciiTheme="majorHAnsi" w:hAnsiTheme="majorHAnsi" w:cstheme="majorHAnsi"/>
          <w:sz w:val="22"/>
          <w:szCs w:val="22"/>
        </w:rPr>
        <w:t>concernant l’aménagement du territoire. Ce travail est fait</w:t>
      </w:r>
      <w:r w:rsidR="007D55D6" w:rsidRPr="00743F23">
        <w:rPr>
          <w:rFonts w:asciiTheme="majorHAnsi" w:hAnsiTheme="majorHAnsi" w:cstheme="majorHAnsi"/>
          <w:sz w:val="22"/>
          <w:szCs w:val="22"/>
        </w:rPr>
        <w:t xml:space="preserve"> </w:t>
      </w:r>
      <w:r w:rsidR="002505A3" w:rsidRPr="00743F23">
        <w:rPr>
          <w:rFonts w:asciiTheme="majorHAnsi" w:hAnsiTheme="majorHAnsi" w:cstheme="majorHAnsi"/>
          <w:sz w:val="22"/>
          <w:szCs w:val="22"/>
        </w:rPr>
        <w:t xml:space="preserve">en concertation avec la Direction Régionale de l’Environnement et les services centraux du Département du </w:t>
      </w:r>
      <w:r w:rsidR="007D55D6" w:rsidRPr="00743F23">
        <w:rPr>
          <w:rFonts w:asciiTheme="majorHAnsi" w:hAnsiTheme="majorHAnsi" w:cstheme="majorHAnsi"/>
          <w:sz w:val="22"/>
          <w:szCs w:val="22"/>
        </w:rPr>
        <w:t xml:space="preserve">Développement Durable. Aussi, </w:t>
      </w:r>
      <w:r w:rsidR="00456CEC" w:rsidRPr="00743F23">
        <w:rPr>
          <w:rFonts w:asciiTheme="majorHAnsi" w:hAnsiTheme="majorHAnsi" w:cstheme="majorHAnsi"/>
          <w:sz w:val="22"/>
          <w:szCs w:val="22"/>
        </w:rPr>
        <w:t>le contractant</w:t>
      </w:r>
      <w:r w:rsidR="007D55D6" w:rsidRPr="00743F23">
        <w:rPr>
          <w:rFonts w:asciiTheme="majorHAnsi" w:hAnsiTheme="majorHAnsi" w:cstheme="majorHAnsi"/>
          <w:sz w:val="22"/>
          <w:szCs w:val="22"/>
        </w:rPr>
        <w:t xml:space="preserve"> doit procéder à une évaluation des questions </w:t>
      </w:r>
      <w:r w:rsidR="00957752" w:rsidRPr="00743F23">
        <w:rPr>
          <w:rFonts w:asciiTheme="majorHAnsi" w:hAnsiTheme="majorHAnsi" w:cstheme="majorHAnsi"/>
          <w:sz w:val="22"/>
          <w:szCs w:val="22"/>
        </w:rPr>
        <w:t>concernant l’aménagement du territoire</w:t>
      </w:r>
      <w:r w:rsidR="007D55D6" w:rsidRPr="00743F23">
        <w:rPr>
          <w:rFonts w:asciiTheme="majorHAnsi" w:hAnsiTheme="majorHAnsi" w:cstheme="majorHAnsi"/>
          <w:sz w:val="22"/>
          <w:szCs w:val="22"/>
        </w:rPr>
        <w:t xml:space="preserve"> selon l’approche de la gestion intégrée du littoral en concertation avec les experts travaillant sur d'autres</w:t>
      </w:r>
      <w:r w:rsidR="006259C0" w:rsidRPr="00743F23">
        <w:rPr>
          <w:rFonts w:asciiTheme="majorHAnsi" w:hAnsiTheme="majorHAnsi" w:cstheme="majorHAnsi"/>
          <w:sz w:val="22"/>
          <w:szCs w:val="22"/>
        </w:rPr>
        <w:t xml:space="preserve"> </w:t>
      </w:r>
      <w:bookmarkStart w:id="1" w:name="_Hlk201589729"/>
      <w:r w:rsidR="006259C0" w:rsidRPr="00743F23">
        <w:rPr>
          <w:rFonts w:asciiTheme="majorHAnsi" w:hAnsiTheme="majorHAnsi" w:cstheme="majorHAnsi"/>
          <w:sz w:val="22"/>
          <w:szCs w:val="22"/>
        </w:rPr>
        <w:t>thématiques afin d’assurer une intégration cohérente des différentes contributions.</w:t>
      </w:r>
      <w:r w:rsidR="007D55D6" w:rsidRPr="00743F23">
        <w:rPr>
          <w:rFonts w:asciiTheme="majorHAnsi" w:hAnsiTheme="majorHAnsi" w:cstheme="majorHAnsi"/>
          <w:sz w:val="22"/>
          <w:szCs w:val="22"/>
        </w:rPr>
        <w:t xml:space="preserve"> </w:t>
      </w:r>
    </w:p>
    <w:bookmarkEnd w:id="1"/>
    <w:p w14:paraId="6DCAEFCC" w14:textId="77777777" w:rsidR="002505A3" w:rsidRPr="002505A3" w:rsidRDefault="002505A3" w:rsidP="002505A3">
      <w:pPr>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shd w:val="clear" w:color="auto" w:fill="auto"/>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shd w:val="clear" w:color="auto" w:fill="auto"/>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shd w:val="clear" w:color="auto" w:fill="auto"/>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shd w:val="clear" w:color="auto" w:fill="auto"/>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shd w:val="clear" w:color="auto" w:fill="auto"/>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shd w:val="clear" w:color="auto" w:fill="auto"/>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shd w:val="clear" w:color="auto" w:fill="auto"/>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shd w:val="clear" w:color="auto" w:fill="auto"/>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shd w:val="clear" w:color="auto" w:fill="auto"/>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shd w:val="clear" w:color="auto" w:fill="auto"/>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d’ONGs, spécialisées dans l’environnement marin et côtier, associées dans une fédération régionale du littoral</w:t>
            </w:r>
          </w:p>
        </w:tc>
      </w:tr>
      <w:tr w:rsidR="00A96E4A" w:rsidRPr="002F3934" w14:paraId="5DF788FE" w14:textId="77777777" w:rsidTr="00A96E4A">
        <w:trPr>
          <w:trHeight w:val="300"/>
        </w:trPr>
        <w:tc>
          <w:tcPr>
            <w:tcW w:w="5000" w:type="pct"/>
            <w:shd w:val="clear" w:color="auto" w:fill="auto"/>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shd w:val="clear" w:color="auto" w:fill="auto"/>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shd w:val="clear" w:color="auto" w:fill="auto"/>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shd w:val="clear" w:color="auto" w:fill="auto"/>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shd w:val="clear" w:color="auto" w:fill="auto"/>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shd w:val="clear" w:color="auto" w:fill="auto"/>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shd w:val="clear" w:color="auto" w:fill="auto"/>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shd w:val="clear" w:color="auto" w:fill="auto"/>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shd w:val="clear" w:color="auto" w:fill="auto"/>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shd w:val="clear" w:color="auto" w:fill="auto"/>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shd w:val="clear" w:color="auto" w:fill="auto"/>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shd w:val="clear" w:color="auto" w:fill="auto"/>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shd w:val="clear" w:color="auto" w:fill="auto"/>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shd w:val="clear" w:color="auto" w:fill="auto"/>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shd w:val="clear" w:color="auto" w:fill="auto"/>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shd w:val="clear" w:color="auto" w:fill="auto"/>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 Pavillon bleu » octroyé</w:t>
            </w:r>
          </w:p>
        </w:tc>
      </w:tr>
      <w:tr w:rsidR="00A96E4A" w:rsidRPr="002F3934" w14:paraId="7CE6B60C" w14:textId="77777777" w:rsidTr="00A96E4A">
        <w:trPr>
          <w:trHeight w:val="300"/>
        </w:trPr>
        <w:tc>
          <w:tcPr>
            <w:tcW w:w="5000" w:type="pct"/>
            <w:shd w:val="clear" w:color="auto" w:fill="auto"/>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falaises aménagées</w:t>
            </w:r>
          </w:p>
        </w:tc>
      </w:tr>
      <w:tr w:rsidR="00A96E4A" w:rsidRPr="00A96E4A" w14:paraId="4F61DE19" w14:textId="77777777" w:rsidTr="00A96E4A">
        <w:trPr>
          <w:trHeight w:val="315"/>
        </w:trPr>
        <w:tc>
          <w:tcPr>
            <w:tcW w:w="5000" w:type="pct"/>
            <w:shd w:val="clear" w:color="auto" w:fill="auto"/>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Nombre d’ateliers de renforcement des capacités des acteurs territoriaux (élus, secteur privé et ONGs)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ED1420" w:rsidRPr="002F3934" w14:paraId="74A2843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1A817CEE" w14:textId="0333813E" w:rsidR="00ED1420" w:rsidRPr="002F3934" w:rsidRDefault="00ED1420" w:rsidP="00A96E4A">
            <w:pPr>
              <w:rPr>
                <w:rFonts w:asciiTheme="majorHAnsi" w:hAnsiTheme="majorHAnsi" w:cstheme="majorHAnsi"/>
                <w:sz w:val="20"/>
                <w:szCs w:val="20"/>
              </w:rPr>
            </w:pPr>
            <w:r w:rsidRPr="00ED1420">
              <w:rPr>
                <w:rFonts w:asciiTheme="majorHAnsi" w:hAnsiTheme="majorHAnsi" w:cstheme="majorHAnsi"/>
                <w:sz w:val="20"/>
                <w:szCs w:val="20"/>
              </w:rPr>
              <w:t>Vulnérabilité à l’invasion marine des eaux souterraines</w:t>
            </w:r>
          </w:p>
        </w:tc>
      </w:tr>
      <w:tr w:rsidR="00ED1420" w:rsidRPr="002F3934" w14:paraId="1691A45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3E2B1A02" w14:textId="0806CD64" w:rsidR="00ED1420" w:rsidRPr="002F3934" w:rsidRDefault="00485184" w:rsidP="00A96E4A">
            <w:pPr>
              <w:rPr>
                <w:rFonts w:asciiTheme="majorHAnsi" w:hAnsiTheme="majorHAnsi" w:cstheme="majorHAnsi"/>
                <w:sz w:val="20"/>
                <w:szCs w:val="20"/>
              </w:rPr>
            </w:pPr>
            <w:r w:rsidRPr="00485184">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moteur;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C05217"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w:t>
      </w:r>
      <w:r w:rsidRPr="00C05217">
        <w:rPr>
          <w:rFonts w:asciiTheme="majorHAnsi" w:hAnsiTheme="majorHAnsi" w:cstheme="majorHAnsi"/>
          <w:sz w:val="22"/>
          <w:szCs w:val="22"/>
        </w:rPr>
        <w:t xml:space="preserve">zone spatiale ou la zone SRL, la cartographie thématique des potentiels, de l’état et des pressions et le zonage des espaces particuliers (zones dégradées, zones à risques, SIBEs), etc. </w:t>
      </w:r>
    </w:p>
    <w:p w14:paraId="67E92FDE" w14:textId="05A5C53D" w:rsidR="0093425A" w:rsidRPr="001C79A5" w:rsidRDefault="00BC7334" w:rsidP="00B422C9">
      <w:pPr>
        <w:jc w:val="both"/>
        <w:rPr>
          <w:rFonts w:asciiTheme="majorHAnsi" w:hAnsiTheme="majorHAnsi" w:cstheme="majorHAnsi"/>
          <w:sz w:val="22"/>
          <w:szCs w:val="22"/>
        </w:rPr>
      </w:pPr>
      <w:r w:rsidRPr="00C05217">
        <w:rPr>
          <w:rFonts w:asciiTheme="majorHAnsi" w:hAnsiTheme="majorHAnsi" w:cstheme="majorHAnsi"/>
          <w:sz w:val="22"/>
          <w:szCs w:val="22"/>
        </w:rPr>
        <w:t xml:space="preserve">Pour cette raison, le titulaire - bien qu'expert en </w:t>
      </w:r>
      <w:r w:rsidR="00957752" w:rsidRPr="00C05217">
        <w:rPr>
          <w:rFonts w:asciiTheme="majorHAnsi" w:hAnsiTheme="majorHAnsi" w:cstheme="majorHAnsi"/>
          <w:sz w:val="22"/>
          <w:szCs w:val="22"/>
        </w:rPr>
        <w:t>aménagement du territoire</w:t>
      </w:r>
      <w:r w:rsidRPr="00C05217">
        <w:rPr>
          <w:rFonts w:asciiTheme="majorHAnsi" w:hAnsiTheme="majorHAnsi" w:cstheme="majorHAnsi"/>
          <w:sz w:val="22"/>
          <w:szCs w:val="22"/>
        </w:rPr>
        <w:t xml:space="preserve"> et spécialisé dans les questions </w:t>
      </w:r>
      <w:r w:rsidR="00957752" w:rsidRPr="00C05217">
        <w:rPr>
          <w:rFonts w:asciiTheme="majorHAnsi" w:hAnsiTheme="majorHAnsi" w:cstheme="majorHAnsi"/>
          <w:sz w:val="22"/>
          <w:szCs w:val="22"/>
        </w:rPr>
        <w:t>d’aménagement territorial</w:t>
      </w:r>
      <w:r w:rsidRPr="00C05217">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C05217">
        <w:rPr>
          <w:rFonts w:asciiTheme="majorHAnsi" w:hAnsiTheme="majorHAnsi" w:cstheme="majorHAnsi"/>
          <w:sz w:val="22"/>
          <w:szCs w:val="22"/>
        </w:rPr>
        <w:t xml:space="preserve">Ce SIG doit être intégré au niveau du </w:t>
      </w:r>
      <w:r w:rsidR="0093425A" w:rsidRPr="00C05217">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reporting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3AE9762D" w14:textId="58C68D9A" w:rsidR="0093425A" w:rsidRPr="00485184" w:rsidRDefault="0093425A" w:rsidP="00B422C9">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Pour </w:t>
      </w:r>
      <w:r w:rsidRPr="00C05217">
        <w:rPr>
          <w:rFonts w:asciiTheme="majorHAnsi" w:hAnsiTheme="majorHAnsi" w:cstheme="majorHAnsi"/>
          <w:sz w:val="22"/>
          <w:szCs w:val="22"/>
        </w:rPr>
        <w:t>ce faire, le titulaire doit</w:t>
      </w:r>
      <w:r w:rsidR="00BF4094" w:rsidRPr="00C05217">
        <w:rPr>
          <w:rFonts w:asciiTheme="majorHAnsi" w:hAnsiTheme="majorHAnsi" w:cstheme="majorHAnsi"/>
          <w:sz w:val="22"/>
          <w:szCs w:val="22"/>
        </w:rPr>
        <w:t xml:space="preserve"> élaborer et</w:t>
      </w:r>
      <w:r w:rsidRPr="00C05217">
        <w:rPr>
          <w:rFonts w:asciiTheme="majorHAnsi" w:hAnsiTheme="majorHAnsi" w:cstheme="majorHAnsi"/>
          <w:sz w:val="22"/>
          <w:szCs w:val="22"/>
        </w:rPr>
        <w:t xml:space="preserve"> proposer un dispositif de suivi-évaluation de la mise en œuvre du SRL au niveau de la région </w:t>
      </w:r>
      <w:r w:rsidR="00B422C9" w:rsidRPr="00C05217">
        <w:rPr>
          <w:rFonts w:asciiTheme="majorHAnsi" w:hAnsiTheme="majorHAnsi" w:cstheme="majorHAnsi"/>
          <w:sz w:val="22"/>
          <w:szCs w:val="22"/>
        </w:rPr>
        <w:t xml:space="preserve">de Tanger Tétouan Al </w:t>
      </w:r>
      <w:r w:rsidR="00B422C9" w:rsidRPr="00485184">
        <w:rPr>
          <w:rFonts w:asciiTheme="majorHAnsi" w:hAnsiTheme="majorHAnsi" w:cstheme="majorHAnsi"/>
          <w:sz w:val="22"/>
          <w:szCs w:val="22"/>
        </w:rPr>
        <w:t>Hoceima</w:t>
      </w:r>
      <w:r w:rsidR="00BF4094" w:rsidRPr="00485184">
        <w:rPr>
          <w:rFonts w:asciiTheme="majorHAnsi" w:hAnsiTheme="majorHAnsi" w:cstheme="majorHAnsi"/>
          <w:sz w:val="22"/>
          <w:szCs w:val="22"/>
        </w:rPr>
        <w:t xml:space="preserve"> </w:t>
      </w:r>
      <w:r w:rsidR="007720A7" w:rsidRPr="00485184">
        <w:rPr>
          <w:rFonts w:asciiTheme="majorHAnsi" w:hAnsiTheme="majorHAnsi" w:cstheme="majorHAnsi"/>
          <w:sz w:val="22"/>
          <w:szCs w:val="22"/>
        </w:rPr>
        <w:t xml:space="preserve">en collaboration </w:t>
      </w:r>
      <w:r w:rsidR="00957752" w:rsidRPr="00485184">
        <w:rPr>
          <w:rFonts w:asciiTheme="majorHAnsi" w:hAnsiTheme="majorHAnsi" w:cstheme="majorHAnsi"/>
          <w:sz w:val="22"/>
          <w:szCs w:val="22"/>
        </w:rPr>
        <w:t>avec</w:t>
      </w:r>
      <w:r w:rsidR="00BF4094" w:rsidRPr="00485184">
        <w:rPr>
          <w:rFonts w:asciiTheme="majorHAnsi" w:hAnsiTheme="majorHAnsi" w:cstheme="majorHAnsi"/>
          <w:sz w:val="22"/>
          <w:szCs w:val="22"/>
        </w:rPr>
        <w:t xml:space="preserve"> d</w:t>
      </w:r>
      <w:r w:rsidR="00957752" w:rsidRPr="00485184">
        <w:rPr>
          <w:rFonts w:asciiTheme="majorHAnsi" w:hAnsiTheme="majorHAnsi" w:cstheme="majorHAnsi"/>
          <w:sz w:val="22"/>
          <w:szCs w:val="22"/>
        </w:rPr>
        <w:t>’autres</w:t>
      </w:r>
      <w:r w:rsidR="00BF4094" w:rsidRPr="00485184">
        <w:rPr>
          <w:rFonts w:asciiTheme="majorHAnsi" w:hAnsiTheme="majorHAnsi" w:cstheme="majorHAnsi"/>
          <w:sz w:val="22"/>
          <w:szCs w:val="22"/>
        </w:rPr>
        <w:t xml:space="preserve"> experts mandatés dans la réalisation de cette étude</w:t>
      </w:r>
      <w:r w:rsidRPr="00485184">
        <w:rPr>
          <w:rFonts w:asciiTheme="majorHAnsi" w:hAnsiTheme="majorHAnsi" w:cstheme="majorHAnsi"/>
          <w:sz w:val="22"/>
          <w:szCs w:val="22"/>
        </w:rPr>
        <w:t xml:space="preserve">. </w:t>
      </w:r>
      <w:r w:rsidR="00023AE9" w:rsidRPr="00485184">
        <w:rPr>
          <w:rFonts w:asciiTheme="majorHAnsi" w:hAnsiTheme="majorHAnsi" w:cstheme="majorHAnsi"/>
          <w:sz w:val="22"/>
          <w:szCs w:val="22"/>
        </w:rPr>
        <w:t xml:space="preserve">Le titulaire se concentrera sur les questions </w:t>
      </w:r>
      <w:r w:rsidR="00957752" w:rsidRPr="00485184">
        <w:rPr>
          <w:rFonts w:asciiTheme="majorHAnsi" w:hAnsiTheme="majorHAnsi" w:cstheme="majorHAnsi"/>
          <w:sz w:val="22"/>
          <w:szCs w:val="22"/>
        </w:rPr>
        <w:t>concernant l’aménagement du territoire</w:t>
      </w:r>
      <w:r w:rsidR="00023AE9" w:rsidRPr="00485184">
        <w:rPr>
          <w:rFonts w:asciiTheme="majorHAnsi" w:hAnsiTheme="majorHAnsi" w:cstheme="majorHAnsi"/>
          <w:sz w:val="22"/>
          <w:szCs w:val="22"/>
        </w:rPr>
        <w:t xml:space="preserve"> et travaillera avec les experts travaillant sur d'autres questions afin </w:t>
      </w:r>
      <w:r w:rsidR="002356AF" w:rsidRPr="00485184">
        <w:rPr>
          <w:rFonts w:asciiTheme="majorHAnsi" w:hAnsiTheme="majorHAnsi" w:cstheme="majorHAnsi"/>
          <w:sz w:val="22"/>
          <w:szCs w:val="22"/>
        </w:rPr>
        <w:t xml:space="preserve">de faciliter l’intégration de </w:t>
      </w:r>
      <w:r w:rsidR="00957752" w:rsidRPr="00485184">
        <w:rPr>
          <w:rFonts w:asciiTheme="majorHAnsi" w:hAnsiTheme="majorHAnsi" w:cstheme="majorHAnsi"/>
          <w:sz w:val="22"/>
          <w:szCs w:val="22"/>
        </w:rPr>
        <w:t xml:space="preserve">sa </w:t>
      </w:r>
      <w:r w:rsidR="00023AE9" w:rsidRPr="00485184">
        <w:rPr>
          <w:rFonts w:asciiTheme="majorHAnsi" w:hAnsiTheme="majorHAnsi" w:cstheme="majorHAnsi"/>
          <w:sz w:val="22"/>
          <w:szCs w:val="22"/>
        </w:rPr>
        <w:t>contribution</w:t>
      </w:r>
      <w:r w:rsidR="00957752" w:rsidRPr="00485184">
        <w:rPr>
          <w:rFonts w:asciiTheme="majorHAnsi" w:hAnsiTheme="majorHAnsi" w:cstheme="majorHAnsi"/>
          <w:sz w:val="22"/>
          <w:szCs w:val="22"/>
        </w:rPr>
        <w:t xml:space="preserve"> dans</w:t>
      </w:r>
      <w:r w:rsidR="002356AF" w:rsidRPr="00485184">
        <w:rPr>
          <w:rFonts w:asciiTheme="majorHAnsi" w:hAnsiTheme="majorHAnsi" w:cstheme="majorHAnsi"/>
          <w:sz w:val="22"/>
          <w:szCs w:val="22"/>
        </w:rPr>
        <w:t xml:space="preserve"> les documents finaux</w:t>
      </w:r>
      <w:r w:rsidR="00485184" w:rsidRPr="00485184">
        <w:rPr>
          <w:rFonts w:asciiTheme="majorHAnsi" w:hAnsiTheme="majorHAnsi" w:cstheme="majorHAnsi"/>
          <w:sz w:val="22"/>
          <w:szCs w:val="22"/>
        </w:rPr>
        <w:t xml:space="preserve"> </w:t>
      </w:r>
      <w:r w:rsidR="002356AF" w:rsidRPr="00485184">
        <w:rPr>
          <w:rFonts w:asciiTheme="majorHAnsi" w:hAnsiTheme="majorHAnsi" w:cstheme="majorHAnsi"/>
          <w:sz w:val="22"/>
          <w:szCs w:val="22"/>
        </w:rPr>
        <w:t xml:space="preserve">finalisée </w:t>
      </w:r>
      <w:r w:rsidR="00957752" w:rsidRPr="00485184">
        <w:rPr>
          <w:rFonts w:asciiTheme="majorHAnsi" w:hAnsiTheme="majorHAnsi" w:cstheme="majorHAnsi"/>
          <w:sz w:val="22"/>
          <w:szCs w:val="22"/>
        </w:rPr>
        <w:t>par l’expert environnementaliste</w:t>
      </w:r>
      <w:r w:rsidR="00023AE9" w:rsidRPr="00485184">
        <w:rPr>
          <w:rFonts w:asciiTheme="majorHAnsi" w:hAnsiTheme="majorHAnsi" w:cstheme="majorHAnsi"/>
          <w:sz w:val="22"/>
          <w:szCs w:val="22"/>
        </w:rPr>
        <w:t>.</w:t>
      </w:r>
    </w:p>
    <w:p w14:paraId="00FA2371" w14:textId="2C613C22" w:rsidR="0093425A" w:rsidRPr="001C79A5" w:rsidRDefault="0093425A" w:rsidP="0093425A">
      <w:pPr>
        <w:spacing w:before="240"/>
        <w:jc w:val="both"/>
        <w:rPr>
          <w:rFonts w:asciiTheme="majorHAnsi" w:hAnsiTheme="majorHAnsi" w:cstheme="majorHAnsi"/>
          <w:sz w:val="22"/>
          <w:szCs w:val="22"/>
        </w:rPr>
      </w:pPr>
      <w:r w:rsidRPr="00485184">
        <w:rPr>
          <w:rFonts w:asciiTheme="majorHAnsi" w:hAnsiTheme="majorHAnsi" w:cstheme="majorHAnsi"/>
          <w:sz w:val="22"/>
          <w:szCs w:val="22"/>
        </w:rPr>
        <w:t xml:space="preserve">Le système de suivi-évaluation est la dernière phase très </w:t>
      </w:r>
      <w:r w:rsidRPr="001C79A5">
        <w:rPr>
          <w:rFonts w:asciiTheme="majorHAnsi" w:hAnsiTheme="majorHAnsi" w:cstheme="majorHAnsi"/>
          <w:sz w:val="22"/>
          <w:szCs w:val="22"/>
        </w:rPr>
        <w:t>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lastRenderedPageBreak/>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assurer 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0508B22D" w14:textId="52B1E9BC" w:rsidR="00C05217"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Au terme de cette mission, le titulaire doit élaborer un rapport sur le dispositif de suivi-évaluation et de reporting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30A5CBF4" w14:textId="77777777" w:rsidR="00485184" w:rsidRPr="001C79A5" w:rsidRDefault="00485184"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18219E61" w:rsidR="00A87CE2" w:rsidRPr="00485184"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contractant </w:t>
      </w:r>
      <w:r w:rsidR="0057028B" w:rsidRPr="00C05217">
        <w:rPr>
          <w:rFonts w:asciiTheme="majorHAnsi" w:hAnsiTheme="majorHAnsi" w:cstheme="majorHAnsi"/>
          <w:sz w:val="22"/>
          <w:szCs w:val="22"/>
        </w:rPr>
        <w:t>participera dans le travail collectif coordonné par l’expert environnementaliste</w:t>
      </w:r>
      <w:r w:rsidR="00FE38D5" w:rsidRPr="00FC0B1B">
        <w:rPr>
          <w:rFonts w:asciiTheme="majorHAnsi" w:hAnsiTheme="majorHAnsi" w:cstheme="majorHAnsi"/>
          <w:color w:val="000000" w:themeColor="text1"/>
          <w:sz w:val="22"/>
          <w:szCs w:val="22"/>
        </w:rPr>
        <w:t>,</w:t>
      </w:r>
      <w:r w:rsidR="0057028B" w:rsidRPr="00C05217">
        <w:rPr>
          <w:rFonts w:asciiTheme="majorHAnsi" w:hAnsiTheme="majorHAnsi" w:cstheme="majorHAnsi"/>
          <w:sz w:val="22"/>
          <w:szCs w:val="22"/>
        </w:rPr>
        <w:t xml:space="preserve"> qui </w:t>
      </w:r>
      <w:r w:rsidRPr="00C05217">
        <w:rPr>
          <w:rFonts w:asciiTheme="majorHAnsi" w:hAnsiTheme="majorHAnsi" w:cstheme="majorHAnsi"/>
          <w:sz w:val="22"/>
          <w:szCs w:val="22"/>
        </w:rPr>
        <w:t>assurera la coordination entre les différents experts et jouera le rôle d’interlocuteur principal avec le maître d’ouvrage</w:t>
      </w:r>
      <w:r w:rsidRPr="00485184">
        <w:rPr>
          <w:rFonts w:asciiTheme="majorHAnsi" w:hAnsiTheme="majorHAnsi" w:cstheme="majorHAnsi"/>
          <w:sz w:val="22"/>
          <w:szCs w:val="22"/>
        </w:rPr>
        <w:t xml:space="preserve">. </w:t>
      </w:r>
      <w:r w:rsidR="00FC0B1B" w:rsidRPr="00485184">
        <w:rPr>
          <w:rFonts w:asciiTheme="majorHAnsi" w:hAnsiTheme="majorHAnsi" w:cstheme="majorHAnsi"/>
          <w:sz w:val="22"/>
          <w:szCs w:val="22"/>
        </w:rPr>
        <w:t xml:space="preserve">Le contractant </w:t>
      </w:r>
      <w:r w:rsidRPr="00485184">
        <w:rPr>
          <w:rFonts w:asciiTheme="majorHAnsi" w:hAnsiTheme="majorHAnsi" w:cstheme="majorHAnsi"/>
          <w:sz w:val="22"/>
          <w:szCs w:val="22"/>
        </w:rPr>
        <w:t xml:space="preserve">sera également chargé de </w:t>
      </w:r>
      <w:r w:rsidR="0057028B" w:rsidRPr="00485184">
        <w:rPr>
          <w:rFonts w:asciiTheme="majorHAnsi" w:hAnsiTheme="majorHAnsi" w:cstheme="majorHAnsi"/>
          <w:sz w:val="22"/>
          <w:szCs w:val="22"/>
        </w:rPr>
        <w:t xml:space="preserve">contribuer dans </w:t>
      </w:r>
      <w:r w:rsidRPr="00485184">
        <w:rPr>
          <w:rFonts w:asciiTheme="majorHAnsi" w:hAnsiTheme="majorHAnsi" w:cstheme="majorHAnsi"/>
          <w:sz w:val="22"/>
          <w:szCs w:val="22"/>
        </w:rPr>
        <w:t xml:space="preserve">l’intégration et de l’harmonisation des données et contributions techniques </w:t>
      </w:r>
      <w:r w:rsidR="0057028B" w:rsidRPr="00485184">
        <w:rPr>
          <w:rFonts w:asciiTheme="majorHAnsi" w:hAnsiTheme="majorHAnsi" w:cstheme="majorHAnsi"/>
          <w:sz w:val="22"/>
          <w:szCs w:val="22"/>
        </w:rPr>
        <w:t xml:space="preserve">concernant l’aménagement du territoire </w:t>
      </w:r>
      <w:r w:rsidRPr="00485184">
        <w:rPr>
          <w:rFonts w:asciiTheme="majorHAnsi" w:hAnsiTheme="majorHAnsi" w:cstheme="majorHAnsi"/>
          <w:sz w:val="22"/>
          <w:szCs w:val="22"/>
        </w:rPr>
        <w:t xml:space="preserve">en un document unique et cohérent. </w:t>
      </w:r>
    </w:p>
    <w:p w14:paraId="0895CDF8" w14:textId="5CC5B4C5"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485184">
        <w:rPr>
          <w:rFonts w:asciiTheme="majorHAnsi" w:hAnsiTheme="majorHAnsi" w:cstheme="majorHAnsi"/>
          <w:sz w:val="22"/>
          <w:szCs w:val="22"/>
        </w:rPr>
        <w:t xml:space="preserve">Le </w:t>
      </w:r>
      <w:r w:rsidR="0057028B" w:rsidRPr="00485184">
        <w:rPr>
          <w:rFonts w:asciiTheme="majorHAnsi" w:hAnsiTheme="majorHAnsi" w:cstheme="majorHAnsi"/>
          <w:sz w:val="22"/>
          <w:szCs w:val="22"/>
        </w:rPr>
        <w:t xml:space="preserve">contractant, ainsi que toute équipe des experts et </w:t>
      </w:r>
      <w:r w:rsidR="00FC0B1B" w:rsidRPr="00485184">
        <w:rPr>
          <w:rFonts w:asciiTheme="majorHAnsi" w:hAnsiTheme="majorHAnsi" w:cstheme="majorHAnsi"/>
          <w:sz w:val="22"/>
          <w:szCs w:val="22"/>
        </w:rPr>
        <w:t xml:space="preserve">l’expert environnementaliste </w:t>
      </w:r>
      <w:r w:rsidRPr="006F28E8">
        <w:rPr>
          <w:rFonts w:asciiTheme="majorHAnsi" w:hAnsiTheme="majorHAnsi" w:cstheme="majorHAnsi"/>
          <w:sz w:val="22"/>
          <w:szCs w:val="22"/>
        </w:rPr>
        <w:t>devr</w:t>
      </w:r>
      <w:r w:rsidR="0057028B">
        <w:rPr>
          <w:rFonts w:asciiTheme="majorHAnsi" w:hAnsiTheme="majorHAnsi" w:cstheme="majorHAnsi"/>
          <w:sz w:val="22"/>
          <w:szCs w:val="22"/>
        </w:rPr>
        <w:t>ons</w:t>
      </w:r>
      <w:r w:rsidRPr="006F28E8">
        <w:rPr>
          <w:rFonts w:asciiTheme="majorHAnsi" w:hAnsiTheme="majorHAnsi" w:cstheme="majorHAnsi"/>
          <w:sz w:val="22"/>
          <w:szCs w:val="22"/>
        </w:rPr>
        <w:t xml:space="preserve"> 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E5045E">
      <w:pPr>
        <w:jc w:val="both"/>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153C0565" w:rsidR="004D773D" w:rsidRDefault="00F50F16" w:rsidP="00E5045E">
      <w:pPr>
        <w:pStyle w:val="ListParagraph"/>
        <w:numPr>
          <w:ilvl w:val="0"/>
          <w:numId w:val="23"/>
        </w:numPr>
        <w:jc w:val="both"/>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4F5080">
        <w:rPr>
          <w:rFonts w:asciiTheme="majorHAnsi" w:hAnsiTheme="majorHAnsi" w:cstheme="majorHAnsi"/>
          <w:sz w:val="22"/>
          <w:szCs w:val="22"/>
        </w:rPr>
        <w:t>« </w:t>
      </w:r>
      <w:r w:rsidRPr="00F50F16">
        <w:rPr>
          <w:rFonts w:asciiTheme="majorHAnsi" w:hAnsiTheme="majorHAnsi" w:cstheme="majorHAnsi"/>
          <w:sz w:val="22"/>
          <w:szCs w:val="22"/>
        </w:rPr>
        <w:t>Aménagement du territoire</w:t>
      </w:r>
      <w:r w:rsidR="004F5080">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01F0B473" w:rsidR="00F50F16" w:rsidRPr="00F50F16" w:rsidRDefault="00F50F16" w:rsidP="00E5045E">
      <w:pPr>
        <w:pStyle w:val="ListParagraph"/>
        <w:numPr>
          <w:ilvl w:val="0"/>
          <w:numId w:val="23"/>
        </w:numPr>
        <w:jc w:val="both"/>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4F5080">
        <w:rPr>
          <w:rFonts w:asciiTheme="majorHAnsi" w:hAnsiTheme="majorHAnsi" w:cstheme="majorHAnsi"/>
          <w:sz w:val="22"/>
          <w:szCs w:val="22"/>
        </w:rPr>
        <w:t>« </w:t>
      </w:r>
      <w:r w:rsidRPr="00F50F16">
        <w:rPr>
          <w:rFonts w:asciiTheme="majorHAnsi" w:hAnsiTheme="majorHAnsi" w:cstheme="majorHAnsi"/>
          <w:sz w:val="22"/>
          <w:szCs w:val="22"/>
        </w:rPr>
        <w:t>Aménagement du territoire</w:t>
      </w:r>
      <w:r w:rsidR="004F5080">
        <w:rPr>
          <w:rFonts w:asciiTheme="majorHAnsi" w:hAnsiTheme="majorHAnsi" w:cstheme="majorHAnsi"/>
          <w:sz w:val="22"/>
          <w:szCs w:val="22"/>
        </w:rPr>
        <w:t> »</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reporting pour le suivi de la mise en œuvre du SRL TTA, et Rapport de synthèse sur l’intégralité de l’étude</w:t>
      </w:r>
      <w:r w:rsidR="00055E5A">
        <w:rPr>
          <w:rFonts w:asciiTheme="majorHAnsi" w:hAnsiTheme="majorHAnsi" w:cstheme="majorHAnsi"/>
          <w:sz w:val="22"/>
          <w:szCs w:val="22"/>
        </w:rPr>
        <w:t>.</w:t>
      </w:r>
    </w:p>
    <w:p w14:paraId="513D0DCF" w14:textId="58D4E20A"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7B2D8D2A"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485184">
        <w:rPr>
          <w:rFonts w:asciiTheme="majorBidi" w:hAnsiTheme="majorBidi" w:cstheme="majorBidi"/>
          <w:b/>
          <w:bCs/>
          <w:sz w:val="23"/>
          <w:szCs w:val="23"/>
        </w:rPr>
        <w:t>.7</w:t>
      </w:r>
      <w:r w:rsidRPr="00E319C9">
        <w:rPr>
          <w:rFonts w:asciiTheme="majorBidi" w:hAnsiTheme="majorBidi" w:cstheme="majorBidi"/>
          <w:b/>
          <w:bCs/>
          <w:sz w:val="23"/>
          <w:szCs w:val="23"/>
        </w:rPr>
        <w:t>.</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0304C8A2" w:rsidR="004D773D" w:rsidRPr="00DB6C54" w:rsidRDefault="004D773D" w:rsidP="004D773D">
      <w:pPr>
        <w:spacing w:before="240" w:after="240"/>
        <w:jc w:val="both"/>
        <w:rPr>
          <w:rFonts w:asciiTheme="majorHAnsi" w:hAnsiTheme="majorHAnsi" w:cstheme="majorHAnsi"/>
          <w:strike/>
          <w:sz w:val="22"/>
          <w:szCs w:val="22"/>
          <w:highlight w:val="yellow"/>
        </w:rPr>
      </w:pPr>
      <w:r w:rsidRPr="00DB6C54">
        <w:rPr>
          <w:rFonts w:asciiTheme="majorHAnsi" w:hAnsiTheme="majorHAnsi" w:cstheme="majorHAnsi"/>
          <w:bCs/>
          <w:iCs/>
          <w:sz w:val="22"/>
          <w:szCs w:val="22"/>
        </w:rPr>
        <w:t xml:space="preserve">Les </w:t>
      </w:r>
      <w:r w:rsidRPr="00DB6C54">
        <w:rPr>
          <w:rFonts w:asciiTheme="majorHAnsi" w:hAnsiTheme="majorHAnsi" w:cstheme="majorHAnsi"/>
          <w:sz w:val="22"/>
          <w:szCs w:val="22"/>
        </w:rPr>
        <w:t>livrables</w:t>
      </w:r>
      <w:r w:rsidRPr="00DB6C54">
        <w:rPr>
          <w:rFonts w:asciiTheme="majorHAnsi" w:hAnsiTheme="majorHAnsi" w:cstheme="majorHAnsi"/>
          <w:bCs/>
          <w:iCs/>
          <w:sz w:val="22"/>
          <w:szCs w:val="22"/>
        </w:rPr>
        <w:t xml:space="preserve"> établis sont ainsi soumis pour approbation du maître </w:t>
      </w:r>
      <w:r w:rsidRPr="0022087F">
        <w:rPr>
          <w:rFonts w:asciiTheme="majorHAnsi" w:hAnsiTheme="majorHAnsi" w:cstheme="majorHAnsi"/>
          <w:bCs/>
          <w:iCs/>
          <w:sz w:val="22"/>
          <w:szCs w:val="22"/>
        </w:rPr>
        <w:t xml:space="preserve">d’ouvrage qui doit, </w:t>
      </w:r>
      <w:r w:rsidRPr="0022087F">
        <w:rPr>
          <w:rFonts w:asciiTheme="majorHAnsi" w:hAnsiTheme="majorHAnsi" w:cstheme="majorHAnsi"/>
          <w:color w:val="000000" w:themeColor="text1"/>
          <w:sz w:val="22"/>
          <w:szCs w:val="22"/>
        </w:rPr>
        <w:t>soit :</w:t>
      </w:r>
      <w:r w:rsidRPr="0022087F">
        <w:rPr>
          <w:rFonts w:asciiTheme="majorHAnsi" w:hAnsiTheme="majorHAnsi" w:cstheme="majorHAnsi"/>
          <w:strike/>
          <w:color w:val="000000" w:themeColor="text1"/>
          <w:sz w:val="22"/>
          <w:szCs w:val="22"/>
        </w:rPr>
        <w:t xml:space="preserve"> </w:t>
      </w:r>
      <w:r w:rsidRPr="0022087F">
        <w:rPr>
          <w:rFonts w:asciiTheme="majorHAnsi" w:hAnsiTheme="majorHAnsi" w:cstheme="majorHAnsi"/>
          <w:strike/>
          <w:color w:val="000000" w:themeColor="text1"/>
          <w:sz w:val="22"/>
          <w:szCs w:val="22"/>
          <w:highlight w:val="yellow"/>
        </w:rPr>
        <w:t xml:space="preserve"> </w:t>
      </w:r>
    </w:p>
    <w:p w14:paraId="4641684B" w14:textId="77777777" w:rsidR="004D773D" w:rsidRPr="00A7376A" w:rsidRDefault="004D773D" w:rsidP="004D773D">
      <w:pPr>
        <w:pStyle w:val="ListParagraph"/>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 xml:space="preserve">Accepter les livrables sans réserve ; </w:t>
      </w:r>
    </w:p>
    <w:p w14:paraId="564AE348" w14:textId="2E233950" w:rsidR="004D773D" w:rsidRPr="00A7376A" w:rsidRDefault="004D773D" w:rsidP="00134D9D">
      <w:pPr>
        <w:pStyle w:val="ListParagraph"/>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Inviter le titulaire à procéder à des corrections ou améliorations des livrables pour les rendre conformes aux exigences d</w:t>
      </w:r>
      <w:r w:rsidR="00EC6406" w:rsidRPr="00A7376A">
        <w:rPr>
          <w:rFonts w:asciiTheme="majorHAnsi" w:hAnsiTheme="majorHAnsi" w:cstheme="majorHAnsi"/>
          <w:sz w:val="22"/>
          <w:szCs w:val="22"/>
        </w:rPr>
        <w:t>e l’</w:t>
      </w:r>
      <w:r w:rsidR="00134D9D" w:rsidRPr="00A7376A">
        <w:rPr>
          <w:rFonts w:asciiTheme="majorHAnsi" w:hAnsiTheme="majorHAnsi" w:cstheme="majorHAnsi"/>
          <w:sz w:val="22"/>
          <w:szCs w:val="22"/>
        </w:rPr>
        <w:t xml:space="preserve">appel d’offre </w:t>
      </w:r>
      <w:r w:rsidRPr="00A7376A">
        <w:rPr>
          <w:rFonts w:asciiTheme="majorHAnsi" w:hAnsiTheme="majorHAnsi" w:cstheme="majorHAnsi"/>
          <w:sz w:val="22"/>
          <w:szCs w:val="22"/>
        </w:rPr>
        <w:t>et aux règles de l’art.</w:t>
      </w:r>
    </w:p>
    <w:p w14:paraId="11FE196D" w14:textId="77777777" w:rsidR="004D773D" w:rsidRPr="00A7376A" w:rsidRDefault="004D773D" w:rsidP="004D773D">
      <w:pPr>
        <w:pStyle w:val="ListParagraph"/>
        <w:numPr>
          <w:ilvl w:val="0"/>
          <w:numId w:val="13"/>
        </w:numPr>
        <w:ind w:left="993" w:right="142"/>
        <w:jc w:val="both"/>
        <w:rPr>
          <w:rFonts w:asciiTheme="majorHAnsi" w:hAnsiTheme="majorHAnsi" w:cstheme="majorHAnsi"/>
          <w:sz w:val="22"/>
          <w:szCs w:val="22"/>
        </w:rPr>
      </w:pPr>
      <w:r w:rsidRPr="00A7376A">
        <w:rPr>
          <w:rFonts w:asciiTheme="majorHAnsi" w:hAnsiTheme="majorHAnsi" w:cstheme="majorHAnsi"/>
          <w:sz w:val="22"/>
          <w:szCs w:val="22"/>
        </w:rPr>
        <w:t>Prononcer un refus motivé des livrables pour insuffisance grave.</w:t>
      </w:r>
    </w:p>
    <w:p w14:paraId="5C221D06" w14:textId="77777777" w:rsidR="004D773D" w:rsidRPr="00470685" w:rsidRDefault="004D773D" w:rsidP="004D773D">
      <w:pPr>
        <w:spacing w:before="240" w:after="240"/>
        <w:jc w:val="both"/>
        <w:rPr>
          <w:rFonts w:asciiTheme="majorHAnsi" w:hAnsiTheme="majorHAnsi" w:cstheme="majorHAnsi"/>
          <w:sz w:val="22"/>
          <w:szCs w:val="22"/>
        </w:rPr>
      </w:pPr>
      <w:r w:rsidRPr="00470685">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28EF0394"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lastRenderedPageBreak/>
        <w:t>2.</w:t>
      </w:r>
      <w:r w:rsidR="0048518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2FCBE095"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48518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D63370" w:rsidRPr="00B26A10">
        <w:rPr>
          <w:rFonts w:asciiTheme="majorBidi" w:hAnsiTheme="majorBidi" w:cstheme="majorBidi"/>
          <w:b/>
          <w:bCs/>
          <w:sz w:val="23"/>
          <w:szCs w:val="23"/>
        </w:rPr>
        <w:t xml:space="preserve">de </w:t>
      </w:r>
      <w:r w:rsidR="00933DCC" w:rsidRPr="00485184">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C05217"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C05217">
        <w:rPr>
          <w:rFonts w:asciiTheme="majorHAnsi" w:hAnsiTheme="majorHAnsi" w:cstheme="majorHAnsi"/>
          <w:spacing w:val="-6"/>
          <w:sz w:val="22"/>
          <w:szCs w:val="22"/>
        </w:rPr>
        <w:t>prévues dans le cadre de ce</w:t>
      </w:r>
      <w:r w:rsidR="00EC6406" w:rsidRPr="00C05217">
        <w:rPr>
          <w:rFonts w:asciiTheme="majorHAnsi" w:hAnsiTheme="majorHAnsi" w:cstheme="majorHAnsi"/>
          <w:spacing w:val="-6"/>
          <w:sz w:val="22"/>
          <w:szCs w:val="22"/>
        </w:rPr>
        <w:t xml:space="preserve">t </w:t>
      </w:r>
      <w:r w:rsidR="00134D9D" w:rsidRPr="00C05217">
        <w:rPr>
          <w:rFonts w:asciiTheme="majorHAnsi" w:hAnsiTheme="majorHAnsi" w:cstheme="majorHAnsi"/>
          <w:sz w:val="23"/>
          <w:szCs w:val="23"/>
        </w:rPr>
        <w:t>appel d’offre.</w:t>
      </w:r>
    </w:p>
    <w:p w14:paraId="4B22BE5A" w14:textId="3F80478A" w:rsidR="00D05C96" w:rsidRPr="00C05217" w:rsidRDefault="00D05C96" w:rsidP="00D05C96">
      <w:pPr>
        <w:shd w:val="clear" w:color="auto" w:fill="FFFFFF"/>
        <w:spacing w:before="120" w:after="120"/>
        <w:jc w:val="both"/>
        <w:rPr>
          <w:rFonts w:asciiTheme="majorHAnsi" w:hAnsiTheme="majorHAnsi" w:cstheme="majorHAnsi"/>
          <w:spacing w:val="-6"/>
          <w:sz w:val="22"/>
          <w:szCs w:val="22"/>
        </w:rPr>
      </w:pPr>
      <w:r w:rsidRPr="00C05217">
        <w:rPr>
          <w:rFonts w:asciiTheme="majorHAnsi" w:hAnsiTheme="majorHAnsi" w:cstheme="majorHAnsi"/>
          <w:spacing w:val="-6"/>
          <w:sz w:val="22"/>
          <w:szCs w:val="22"/>
          <w:lang w:val="hr-HR"/>
        </w:rPr>
        <w:t xml:space="preserve">Pour cette consultation, le profil requis est celui d'un </w:t>
      </w:r>
      <w:r w:rsidRPr="00C05217">
        <w:rPr>
          <w:rFonts w:asciiTheme="majorHAnsi" w:hAnsiTheme="majorHAnsi" w:cstheme="majorHAnsi"/>
          <w:spacing w:val="-6"/>
          <w:sz w:val="22"/>
          <w:szCs w:val="22"/>
          <w:u w:val="single"/>
          <w:lang w:val="hr-HR"/>
        </w:rPr>
        <w:t xml:space="preserve">expert en </w:t>
      </w:r>
      <w:r w:rsidR="00FF2EAE" w:rsidRPr="00C05217">
        <w:rPr>
          <w:rFonts w:asciiTheme="majorHAnsi" w:hAnsiTheme="majorHAnsi" w:cstheme="majorHAnsi"/>
          <w:spacing w:val="-6"/>
          <w:sz w:val="22"/>
          <w:szCs w:val="22"/>
          <w:u w:val="single"/>
          <w:lang w:val="hr-HR"/>
        </w:rPr>
        <w:t>aménagement du territoire</w:t>
      </w:r>
      <w:r w:rsidRPr="00C05217">
        <w:rPr>
          <w:rFonts w:asciiTheme="majorHAnsi" w:hAnsiTheme="majorHAnsi" w:cstheme="majorHAnsi"/>
          <w:spacing w:val="-6"/>
          <w:sz w:val="22"/>
          <w:szCs w:val="22"/>
          <w:lang w:val="hr-HR"/>
        </w:rPr>
        <w:t>, en plus d</w:t>
      </w:r>
      <w:r w:rsidR="00FF2EAE" w:rsidRPr="00C05217">
        <w:rPr>
          <w:rFonts w:asciiTheme="majorHAnsi" w:hAnsiTheme="majorHAnsi" w:cstheme="majorHAnsi"/>
          <w:spacing w:val="-6"/>
          <w:sz w:val="22"/>
          <w:szCs w:val="22"/>
          <w:lang w:val="hr-HR"/>
        </w:rPr>
        <w:t xml:space="preserve">e participer dans le travail </w:t>
      </w:r>
      <w:r w:rsidRPr="00C05217">
        <w:rPr>
          <w:rFonts w:asciiTheme="majorHAnsi" w:hAnsiTheme="majorHAnsi" w:cstheme="majorHAnsi"/>
          <w:spacing w:val="-6"/>
          <w:sz w:val="22"/>
          <w:szCs w:val="22"/>
          <w:lang w:val="hr-HR"/>
        </w:rPr>
        <w:t>de l'intégration des autres experts travaillant sur le SRL TTA</w:t>
      </w:r>
      <w:r w:rsidR="00FF2EAE" w:rsidRPr="00C05217">
        <w:rPr>
          <w:rFonts w:asciiTheme="majorHAnsi" w:hAnsiTheme="majorHAnsi" w:cstheme="majorHAnsi"/>
          <w:spacing w:val="-6"/>
          <w:sz w:val="22"/>
          <w:szCs w:val="22"/>
          <w:lang w:val="hr-HR"/>
        </w:rPr>
        <w:t xml:space="preserve"> sous la direction de l'expert environnementaliste</w:t>
      </w:r>
      <w:r w:rsidRPr="00C05217">
        <w:rPr>
          <w:rFonts w:asciiTheme="majorHAnsi" w:hAnsiTheme="majorHAnsi" w:cstheme="majorHAnsi"/>
          <w:spacing w:val="-6"/>
          <w:sz w:val="22"/>
          <w:szCs w:val="22"/>
          <w:lang w:val="hr-HR"/>
        </w:rPr>
        <w:t xml:space="preserve"> (tels que experts </w:t>
      </w:r>
      <w:r w:rsidRPr="00C05217">
        <w:rPr>
          <w:rFonts w:asciiTheme="majorHAnsi" w:hAnsiTheme="majorHAnsi" w:cstheme="majorHAnsi"/>
          <w:sz w:val="22"/>
          <w:szCs w:val="22"/>
        </w:rPr>
        <w:t xml:space="preserve">en matière de gestion des risques littoraux liés au changement climatique, en </w:t>
      </w:r>
      <w:r w:rsidR="00FF2EAE" w:rsidRPr="00C05217">
        <w:rPr>
          <w:rFonts w:asciiTheme="majorHAnsi" w:hAnsiTheme="majorHAnsi" w:cstheme="majorHAnsi"/>
          <w:sz w:val="22"/>
          <w:szCs w:val="22"/>
        </w:rPr>
        <w:t xml:space="preserve">questions </w:t>
      </w:r>
      <w:r w:rsidRPr="00C05217">
        <w:rPr>
          <w:rFonts w:asciiTheme="majorHAnsi" w:hAnsiTheme="majorHAnsi" w:cstheme="majorHAnsi"/>
          <w:sz w:val="22"/>
          <w:szCs w:val="22"/>
        </w:rPr>
        <w:t>socio-économi</w:t>
      </w:r>
      <w:r w:rsidR="00FF2EAE" w:rsidRPr="00C05217">
        <w:rPr>
          <w:rFonts w:asciiTheme="majorHAnsi" w:hAnsiTheme="majorHAnsi" w:cstheme="majorHAnsi"/>
          <w:sz w:val="22"/>
          <w:szCs w:val="22"/>
        </w:rPr>
        <w:t>ques</w:t>
      </w:r>
      <w:r w:rsidRPr="00C05217">
        <w:rPr>
          <w:rFonts w:asciiTheme="majorHAnsi" w:hAnsiTheme="majorHAnsi" w:cstheme="majorHAnsi"/>
          <w:sz w:val="22"/>
          <w:szCs w:val="22"/>
        </w:rPr>
        <w:t xml:space="preserve"> et en SIG</w:t>
      </w:r>
      <w:r w:rsidRPr="00C05217">
        <w:rPr>
          <w:rFonts w:asciiTheme="majorHAnsi" w:hAnsiTheme="majorHAnsi" w:cstheme="majorHAnsi"/>
          <w:spacing w:val="-6"/>
          <w:sz w:val="22"/>
          <w:szCs w:val="22"/>
          <w:lang w:val="hr-HR"/>
        </w:rPr>
        <w:t>).</w:t>
      </w:r>
    </w:p>
    <w:p w14:paraId="45C33B4F" w14:textId="7BA863FB" w:rsidR="00E267FA" w:rsidRPr="00C05217" w:rsidRDefault="00883BE7" w:rsidP="00883BE7">
      <w:p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De plus, l</w:t>
      </w:r>
      <w:r w:rsidR="00E267FA" w:rsidRPr="00C05217">
        <w:rPr>
          <w:rFonts w:asciiTheme="majorHAnsi" w:hAnsiTheme="majorHAnsi" w:cstheme="majorHAnsi"/>
          <w:bCs/>
          <w:spacing w:val="-6"/>
          <w:sz w:val="22"/>
          <w:szCs w:val="22"/>
        </w:rPr>
        <w:t xml:space="preserve">e </w:t>
      </w:r>
      <w:r w:rsidRPr="00C05217">
        <w:rPr>
          <w:rFonts w:asciiTheme="majorHAnsi" w:hAnsiTheme="majorHAnsi" w:cstheme="majorHAnsi"/>
          <w:bCs/>
          <w:spacing w:val="-6"/>
          <w:sz w:val="22"/>
          <w:szCs w:val="22"/>
        </w:rPr>
        <w:t>titulaire</w:t>
      </w:r>
      <w:r w:rsidR="00E267FA" w:rsidRPr="00C05217">
        <w:rPr>
          <w:rFonts w:asciiTheme="majorHAnsi" w:hAnsiTheme="majorHAnsi" w:cstheme="majorHAnsi"/>
          <w:bCs/>
          <w:spacing w:val="-6"/>
          <w:sz w:val="22"/>
          <w:szCs w:val="22"/>
        </w:rPr>
        <w:t xml:space="preserve"> doit posséder les qualifications générales et l'expérience professionnelle suivantes :</w:t>
      </w:r>
    </w:p>
    <w:p w14:paraId="3F423CA0" w14:textId="44A4D021" w:rsidR="0023628C" w:rsidRPr="00C05217"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 xml:space="preserve">Diplôme universitaire en </w:t>
      </w:r>
      <w:r w:rsidR="00FF2EAE" w:rsidRPr="00C05217">
        <w:rPr>
          <w:rFonts w:asciiTheme="majorHAnsi" w:hAnsiTheme="majorHAnsi" w:cstheme="majorHAnsi"/>
          <w:bCs/>
          <w:spacing w:val="-6"/>
          <w:sz w:val="22"/>
          <w:szCs w:val="22"/>
        </w:rPr>
        <w:t>aménagement du territoire</w:t>
      </w:r>
      <w:r w:rsidR="0055603D" w:rsidRPr="00C05217">
        <w:rPr>
          <w:rFonts w:asciiTheme="majorHAnsi" w:hAnsiTheme="majorHAnsi" w:cstheme="majorHAnsi"/>
          <w:bCs/>
          <w:spacing w:val="-6"/>
          <w:sz w:val="22"/>
          <w:szCs w:val="22"/>
        </w:rPr>
        <w:t>/</w:t>
      </w:r>
      <w:r w:rsidR="00660AF2" w:rsidRPr="00C05217">
        <w:rPr>
          <w:rFonts w:asciiTheme="majorHAnsi" w:hAnsiTheme="majorHAnsi" w:cstheme="majorHAnsi"/>
          <w:bCs/>
          <w:spacing w:val="-6"/>
          <w:sz w:val="22"/>
          <w:szCs w:val="22"/>
        </w:rPr>
        <w:t>urbanisme/planification</w:t>
      </w:r>
      <w:r w:rsidR="00964434" w:rsidRPr="00C05217">
        <w:rPr>
          <w:rFonts w:asciiTheme="majorHAnsi" w:hAnsiTheme="majorHAnsi" w:cstheme="majorHAnsi"/>
          <w:bCs/>
          <w:spacing w:val="-6"/>
          <w:sz w:val="22"/>
          <w:szCs w:val="22"/>
        </w:rPr>
        <w:t>/autre</w:t>
      </w:r>
      <w:r w:rsidR="004706EE" w:rsidRPr="00C05217">
        <w:rPr>
          <w:rFonts w:asciiTheme="majorHAnsi" w:hAnsiTheme="majorHAnsi" w:cstheme="majorHAnsi"/>
          <w:bCs/>
          <w:spacing w:val="-6"/>
          <w:sz w:val="22"/>
          <w:szCs w:val="22"/>
        </w:rPr>
        <w:t xml:space="preserve"> </w:t>
      </w:r>
      <w:r w:rsidRPr="00C05217">
        <w:rPr>
          <w:rFonts w:asciiTheme="majorHAnsi" w:hAnsiTheme="majorHAnsi" w:cstheme="majorHAnsi"/>
          <w:bCs/>
          <w:spacing w:val="-6"/>
          <w:sz w:val="22"/>
          <w:szCs w:val="22"/>
        </w:rPr>
        <w:t>en lien</w:t>
      </w:r>
      <w:r w:rsidR="0023628C" w:rsidRPr="00C05217">
        <w:rPr>
          <w:rFonts w:asciiTheme="majorHAnsi" w:hAnsiTheme="majorHAnsi" w:cstheme="majorHAnsi"/>
          <w:bCs/>
          <w:spacing w:val="-6"/>
          <w:sz w:val="22"/>
          <w:szCs w:val="22"/>
        </w:rPr>
        <w:t xml:space="preserve"> direct avec cet appel d’offres </w:t>
      </w:r>
      <w:r w:rsidRPr="00C05217">
        <w:rPr>
          <w:rFonts w:asciiTheme="majorHAnsi" w:hAnsiTheme="majorHAnsi" w:cstheme="majorHAnsi"/>
          <w:bCs/>
          <w:spacing w:val="-6"/>
          <w:sz w:val="22"/>
          <w:szCs w:val="22"/>
        </w:rPr>
        <w:t xml:space="preserve">; </w:t>
      </w:r>
    </w:p>
    <w:p w14:paraId="3AE59DED" w14:textId="7DF90644"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B456F5">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7D8B7D43" w14:textId="77777777" w:rsidR="00F33AF4" w:rsidRPr="00135A58" w:rsidRDefault="00F33AF4" w:rsidP="00F33AF4">
      <w:pPr>
        <w:pStyle w:val="ListParagraph"/>
        <w:shd w:val="clear" w:color="auto" w:fill="FFFFFF"/>
        <w:spacing w:before="120" w:after="120"/>
        <w:jc w:val="both"/>
        <w:rPr>
          <w:rFonts w:asciiTheme="majorHAnsi" w:hAnsiTheme="majorHAnsi" w:cstheme="majorHAnsi"/>
          <w:bCs/>
          <w:spacing w:val="-6"/>
          <w:sz w:val="22"/>
          <w:szCs w:val="22"/>
        </w:rPr>
      </w:pPr>
    </w:p>
    <w:p w14:paraId="3FF791AD" w14:textId="77777777" w:rsidR="00F33AF4" w:rsidRPr="00F33AF4" w:rsidRDefault="00F33AF4" w:rsidP="00F33AF4">
      <w:pPr>
        <w:shd w:val="clear" w:color="auto" w:fill="FFFFFF"/>
        <w:spacing w:before="120" w:after="120"/>
        <w:jc w:val="both"/>
        <w:rPr>
          <w:rFonts w:asciiTheme="majorHAnsi" w:hAnsiTheme="majorHAnsi" w:cstheme="majorHAnsi"/>
          <w:b/>
          <w:color w:val="EE0000"/>
          <w:spacing w:val="-6"/>
          <w:sz w:val="22"/>
          <w:szCs w:val="22"/>
        </w:rPr>
      </w:pPr>
      <w:r w:rsidRPr="00F33AF4">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F33AF4" w:rsidRPr="00AC222A" w14:paraId="14006F36" w14:textId="77777777" w:rsidTr="00091399">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179C61A2" w14:textId="77777777" w:rsidR="00F33AF4" w:rsidRPr="00AC222A" w:rsidRDefault="00F33AF4" w:rsidP="00091399">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lastRenderedPageBreak/>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655A37C6"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511AA269" w14:textId="77777777" w:rsidR="00F33AF4" w:rsidRPr="00AC222A" w:rsidRDefault="00F33AF4" w:rsidP="00091399">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05D57D2D" w14:textId="77777777" w:rsidR="00F33AF4" w:rsidRPr="00AC222A" w:rsidRDefault="00F33AF4" w:rsidP="00091399">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6A2FD175"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4783527D"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F33AF4" w:rsidRPr="00AC222A" w14:paraId="7CA94D03" w14:textId="77777777" w:rsidTr="00091399">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6FB7305F"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1C7B0D5"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44D7D330" w14:textId="77777777" w:rsidR="00F33AF4" w:rsidRPr="00AC222A" w:rsidRDefault="00F33AF4"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6CDC349" w14:textId="77777777" w:rsidR="00F33AF4" w:rsidRPr="00AC222A" w:rsidRDefault="00F33AF4"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EC9A21C" w14:textId="77777777" w:rsidR="00F33AF4" w:rsidRPr="00AC222A" w:rsidRDefault="00F33AF4"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585CD6CD" w14:textId="77777777" w:rsidR="00F33AF4" w:rsidRPr="00AC222A" w:rsidRDefault="00F33AF4" w:rsidP="00091399">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F33AF4" w:rsidRPr="00AC222A" w14:paraId="0A2F683E" w14:textId="77777777" w:rsidTr="00091399">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05FC646E"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3EA578A6" w14:textId="1F196564" w:rsidR="00F33AF4" w:rsidRPr="00AC222A" w:rsidRDefault="00F33AF4" w:rsidP="00091399">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6D1243FB" w14:textId="77777777" w:rsidR="00F33AF4" w:rsidRPr="00AC222A" w:rsidRDefault="00F33AF4" w:rsidP="00091399">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70C6DF8E" w14:textId="73A73692" w:rsidR="00F33AF4" w:rsidRPr="00AC222A" w:rsidRDefault="003C5E18" w:rsidP="00091399">
            <w:pPr>
              <w:spacing w:before="120" w:after="120"/>
              <w:ind w:right="5"/>
              <w:rPr>
                <w:rFonts w:asciiTheme="majorHAnsi" w:hAnsiTheme="majorHAnsi" w:cstheme="majorHAnsi"/>
                <w:spacing w:val="1"/>
                <w:sz w:val="22"/>
                <w:szCs w:val="22"/>
              </w:rPr>
            </w:pPr>
            <w:r w:rsidRPr="003C5E18">
              <w:rPr>
                <w:rFonts w:asciiTheme="majorHAnsi" w:hAnsiTheme="majorHAnsi" w:cstheme="majorHAnsi"/>
                <w:spacing w:val="1"/>
                <w:sz w:val="22"/>
                <w:szCs w:val="22"/>
              </w:rPr>
              <w:t xml:space="preserve">Nombre de projets/études liés aux travaux dans le </w:t>
            </w:r>
            <w:r w:rsidRPr="003C5E18">
              <w:rPr>
                <w:rFonts w:asciiTheme="majorHAnsi" w:hAnsiTheme="majorHAnsi" w:cstheme="majorHAnsi"/>
                <w:spacing w:val="1"/>
                <w:sz w:val="22"/>
                <w:szCs w:val="22"/>
                <w:u w:val="single"/>
              </w:rPr>
              <w:t>domaine d’aménagement du territoire</w:t>
            </w:r>
            <w:r w:rsidRPr="003C5E18">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187B2FAB"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48E067F2"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64008AED" w14:textId="77777777" w:rsidR="00F33AF4" w:rsidRPr="00AC222A" w:rsidRDefault="00F33AF4" w:rsidP="00091399">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03DE820A" w14:textId="77777777" w:rsidR="00F33AF4" w:rsidRPr="00AC222A" w:rsidRDefault="00F33AF4" w:rsidP="00091399">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F33AF4" w:rsidRPr="00AC222A" w14:paraId="03AC6196" w14:textId="77777777" w:rsidTr="00091399">
        <w:trPr>
          <w:trHeight w:val="189"/>
        </w:trPr>
        <w:tc>
          <w:tcPr>
            <w:tcW w:w="1537" w:type="dxa"/>
            <w:vMerge/>
            <w:tcBorders>
              <w:top w:val="single" w:sz="4" w:space="0" w:color="auto"/>
              <w:left w:val="single" w:sz="4" w:space="0" w:color="auto"/>
              <w:right w:val="single" w:sz="4" w:space="0" w:color="000000"/>
            </w:tcBorders>
            <w:shd w:val="clear" w:color="auto" w:fill="auto"/>
          </w:tcPr>
          <w:p w14:paraId="57BEC54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4CA200F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7E0BDFF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289BF793"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02758B29"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726865AE"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2A11B07C"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C222A" w14:paraId="33161400" w14:textId="77777777" w:rsidTr="00091399">
        <w:trPr>
          <w:trHeight w:val="189"/>
        </w:trPr>
        <w:tc>
          <w:tcPr>
            <w:tcW w:w="1537" w:type="dxa"/>
            <w:vMerge/>
            <w:tcBorders>
              <w:left w:val="single" w:sz="4" w:space="0" w:color="auto"/>
              <w:bottom w:val="single" w:sz="4" w:space="0" w:color="auto"/>
              <w:right w:val="single" w:sz="4" w:space="0" w:color="000000"/>
            </w:tcBorders>
            <w:shd w:val="clear" w:color="auto" w:fill="auto"/>
          </w:tcPr>
          <w:p w14:paraId="0728777C"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367C882B"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6280B555"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7EB9644D"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2949E9CA"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139AC22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11816" w14:paraId="4C9821EF" w14:textId="77777777" w:rsidTr="00091399">
        <w:trPr>
          <w:trHeight w:val="189"/>
        </w:trPr>
        <w:tc>
          <w:tcPr>
            <w:tcW w:w="1537" w:type="dxa"/>
            <w:vMerge/>
            <w:tcBorders>
              <w:left w:val="single" w:sz="4" w:space="0" w:color="auto"/>
              <w:bottom w:val="single" w:sz="4" w:space="0" w:color="auto"/>
              <w:right w:val="single" w:sz="4" w:space="0" w:color="000000"/>
            </w:tcBorders>
            <w:shd w:val="clear" w:color="auto" w:fill="auto"/>
          </w:tcPr>
          <w:p w14:paraId="710A1DB0"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2C21D30A"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28A9E1E7" w14:textId="77777777" w:rsidR="00F33AF4" w:rsidRPr="00AC222A" w:rsidRDefault="00F33AF4"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184C2866" w14:textId="77777777" w:rsidR="00F33AF4" w:rsidRPr="00AC222A" w:rsidRDefault="00F33AF4"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3CB67D7D" w14:textId="77777777" w:rsidR="00F33AF4" w:rsidRPr="00A11816" w:rsidRDefault="00F33AF4"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3FF8F33C" w14:textId="77777777" w:rsidR="00F33AF4" w:rsidRPr="00A11816" w:rsidRDefault="00F33AF4" w:rsidP="00091399">
            <w:pPr>
              <w:spacing w:before="120" w:after="120"/>
              <w:ind w:right="5"/>
              <w:jc w:val="both"/>
              <w:rPr>
                <w:rFonts w:asciiTheme="majorHAnsi" w:hAnsiTheme="majorHAnsi" w:cstheme="majorHAnsi"/>
                <w:spacing w:val="1"/>
                <w:sz w:val="22"/>
                <w:szCs w:val="22"/>
                <w:lang w:val="en-GB"/>
              </w:rPr>
            </w:pPr>
          </w:p>
        </w:tc>
      </w:tr>
      <w:tr w:rsidR="00F33AF4" w:rsidRPr="00A11816" w14:paraId="200AA9AF" w14:textId="77777777" w:rsidTr="00091399">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035A9F33" w14:textId="77777777" w:rsidR="00F33AF4" w:rsidRDefault="00F33AF4" w:rsidP="00091399">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469A250B" w14:textId="77777777" w:rsidR="00F33AF4" w:rsidRPr="00A62FE8" w:rsidRDefault="00F33AF4" w:rsidP="00091399">
            <w:pPr>
              <w:spacing w:before="120" w:after="120"/>
              <w:ind w:right="5"/>
              <w:rPr>
                <w:rFonts w:asciiTheme="majorHAnsi" w:hAnsiTheme="majorHAnsi" w:cstheme="majorHAnsi"/>
                <w:spacing w:val="1"/>
                <w:sz w:val="22"/>
                <w:szCs w:val="22"/>
                <w:lang w:val="fr-BE"/>
              </w:rPr>
            </w:pPr>
          </w:p>
          <w:p w14:paraId="228BF5B5" w14:textId="77777777" w:rsidR="00F33AF4" w:rsidRPr="00A62FE8" w:rsidRDefault="00F33AF4" w:rsidP="00091399">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6E5DEB01"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240D85CB"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35D27D1C"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67167622"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63BEE3D2"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D36D797"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2BF98FB4"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F33AF4" w:rsidRPr="00A11816" w14:paraId="2EBDD65B" w14:textId="77777777" w:rsidTr="00091399">
        <w:trPr>
          <w:trHeight w:val="189"/>
        </w:trPr>
        <w:tc>
          <w:tcPr>
            <w:tcW w:w="1537" w:type="dxa"/>
            <w:vMerge/>
            <w:tcBorders>
              <w:left w:val="single" w:sz="4" w:space="0" w:color="auto"/>
              <w:bottom w:val="single" w:sz="4" w:space="0" w:color="auto"/>
              <w:right w:val="single" w:sz="4" w:space="0" w:color="000000"/>
            </w:tcBorders>
            <w:shd w:val="clear" w:color="auto" w:fill="auto"/>
          </w:tcPr>
          <w:p w14:paraId="541C6861" w14:textId="77777777" w:rsidR="00F33AF4" w:rsidRPr="00A62FE8" w:rsidRDefault="00F33AF4" w:rsidP="00091399">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60DD27DB" w14:textId="77777777" w:rsidR="00F33AF4" w:rsidRPr="00A62FE8" w:rsidRDefault="00F33AF4" w:rsidP="00091399">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1F4ED580" w14:textId="77777777" w:rsidR="00F33AF4" w:rsidRPr="00A62FE8" w:rsidRDefault="00F33AF4" w:rsidP="00091399">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2E615A48"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7D13A45" w14:textId="77777777" w:rsidR="00F33AF4" w:rsidRPr="00A62FE8" w:rsidRDefault="00F33AF4" w:rsidP="00091399">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60B55928"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282A498C" w14:textId="77777777" w:rsidR="00F33AF4" w:rsidRPr="00A62FE8" w:rsidRDefault="00F33AF4"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7954368E" w14:textId="77777777" w:rsidR="00F33AF4" w:rsidRPr="00A62FE8" w:rsidRDefault="00F33AF4"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Aux fins d’établissement des motifs énoncés au point 3.1. de l'appel d'offres, le soumissionnaire soumettra les éléments suivants dans son offre :</w:t>
      </w:r>
    </w:p>
    <w:p w14:paraId="5D89ACEC" w14:textId="1EF8B243"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082A0D">
        <w:rPr>
          <w:rFonts w:asciiTheme="majorHAnsi" w:hAnsiTheme="majorHAnsi" w:cstheme="majorHAnsi"/>
          <w:bCs/>
          <w:spacing w:val="-6"/>
          <w:sz w:val="22"/>
          <w:szCs w:val="22"/>
        </w:rPr>
        <w:t xml:space="preserve"> </w:t>
      </w:r>
      <w:r w:rsidR="00082A0D" w:rsidRPr="00082A0D">
        <w:rPr>
          <w:rFonts w:asciiTheme="majorHAnsi" w:hAnsiTheme="majorHAnsi" w:cstheme="majorHAnsi"/>
          <w:bCs/>
          <w:spacing w:val="-6"/>
          <w:sz w:val="22"/>
          <w:szCs w:val="22"/>
        </w:rPr>
        <w:t>et 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w:t>
      </w:r>
      <w:r w:rsidRPr="002E4A1B">
        <w:rPr>
          <w:rFonts w:asciiTheme="majorHAnsi" w:hAnsiTheme="majorHAnsi" w:cstheme="majorHAnsi"/>
          <w:spacing w:val="-1"/>
          <w:sz w:val="22"/>
          <w:szCs w:val="22"/>
        </w:rPr>
        <w:lastRenderedPageBreak/>
        <w:t>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4C5FAEBD"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FF2EAE">
        <w:rPr>
          <w:rFonts w:asciiTheme="majorHAnsi" w:hAnsiTheme="majorHAnsi" w:cstheme="majorHAnsi"/>
          <w:sz w:val="22"/>
          <w:szCs w:val="22"/>
        </w:rPr>
        <w:t>aménagement du territoire</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22C75847"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DB6743">
        <w:rPr>
          <w:rFonts w:asciiTheme="majorHAnsi" w:hAnsiTheme="majorHAnsi" w:cstheme="majorHAnsi"/>
          <w:b/>
          <w:bCs/>
          <w:sz w:val="22"/>
          <w:szCs w:val="22"/>
          <w:u w:val="single"/>
        </w:rPr>
        <w:t>1</w:t>
      </w:r>
      <w:r w:rsidR="00CE71F5">
        <w:rPr>
          <w:rFonts w:asciiTheme="majorHAnsi" w:hAnsiTheme="majorHAnsi" w:cstheme="majorHAnsi"/>
          <w:b/>
          <w:bCs/>
          <w:sz w:val="22"/>
          <w:szCs w:val="22"/>
          <w:u w:val="single"/>
        </w:rPr>
        <w:t>8</w:t>
      </w:r>
      <w:r w:rsidR="00DB6743">
        <w:rPr>
          <w:rFonts w:asciiTheme="majorHAnsi" w:hAnsiTheme="majorHAnsi" w:cstheme="majorHAnsi"/>
          <w:b/>
          <w:bCs/>
          <w:sz w:val="22"/>
          <w:szCs w:val="22"/>
          <w:u w:val="single"/>
        </w:rPr>
        <w:t xml:space="preserve"> juillet 2</w:t>
      </w:r>
      <w:r w:rsidR="0050133E" w:rsidRPr="00D03A4A">
        <w:rPr>
          <w:rFonts w:asciiTheme="majorHAnsi" w:hAnsiTheme="majorHAnsi" w:cstheme="majorHAnsi"/>
          <w:b/>
          <w:bCs/>
          <w:sz w:val="22"/>
          <w:szCs w:val="22"/>
          <w:u w:val="single"/>
        </w:rPr>
        <w:t>02</w:t>
      </w:r>
      <w:r w:rsidR="00E2610D" w:rsidRPr="00D03A4A">
        <w:rPr>
          <w:rFonts w:asciiTheme="majorHAnsi" w:hAnsiTheme="majorHAnsi" w:cstheme="majorHAnsi"/>
          <w:b/>
          <w:bCs/>
          <w:sz w:val="22"/>
          <w:szCs w:val="22"/>
          <w:u w:val="single"/>
        </w:rPr>
        <w:t>5</w:t>
      </w:r>
      <w:r w:rsidR="0050133E" w:rsidRPr="00D03A4A">
        <w:rPr>
          <w:rFonts w:asciiTheme="majorHAnsi" w:hAnsiTheme="majorHAnsi" w:cstheme="majorHAnsi"/>
          <w:b/>
          <w:bCs/>
          <w:sz w:val="22"/>
          <w:szCs w:val="22"/>
          <w:u w:val="single"/>
        </w:rPr>
        <w:t>, 15h CE</w:t>
      </w:r>
      <w:r w:rsidR="00E2610D" w:rsidRPr="00D03A4A">
        <w:rPr>
          <w:rFonts w:asciiTheme="majorHAnsi" w:hAnsiTheme="majorHAnsi" w:cstheme="majorHAnsi"/>
          <w:b/>
          <w:bCs/>
          <w:sz w:val="22"/>
          <w:szCs w:val="22"/>
          <w:u w:val="single"/>
        </w:rPr>
        <w:t>S</w:t>
      </w:r>
      <w:r w:rsidR="0050133E" w:rsidRPr="00D03A4A">
        <w:rPr>
          <w:rFonts w:asciiTheme="majorHAnsi" w:hAnsiTheme="majorHAnsi" w:cstheme="majorHAnsi"/>
          <w:b/>
          <w:bCs/>
          <w:sz w:val="22"/>
          <w:szCs w:val="22"/>
          <w:u w:val="single"/>
        </w:rPr>
        <w:t>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r>
        <w:rPr>
          <w:rFonts w:asciiTheme="majorHAnsi" w:hAnsiTheme="majorHAnsi" w:cstheme="majorHAnsi"/>
          <w:b/>
          <w:sz w:val="22"/>
          <w:szCs w:val="22"/>
          <w:lang w:val="en-GB"/>
        </w:rPr>
        <w:t xml:space="preserve">Période de validité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expertise du soumissionnaire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EF1DC8" w:rsidRPr="00AC222A" w14:paraId="07397A8A" w14:textId="77777777" w:rsidTr="00091399">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4C97B6D2" w14:textId="77777777" w:rsidR="00EF1DC8" w:rsidRPr="00AC222A" w:rsidRDefault="00EF1DC8" w:rsidP="00091399">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734D7A77"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7E6021CF" w14:textId="77777777" w:rsidR="00EF1DC8" w:rsidRPr="00AC222A" w:rsidRDefault="00EF1DC8" w:rsidP="00091399">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48FE08B2" w14:textId="77777777" w:rsidR="00EF1DC8" w:rsidRPr="00AC222A" w:rsidRDefault="00EF1DC8" w:rsidP="00091399">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54A0704D"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2A01196F"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EF1DC8" w:rsidRPr="00AC222A" w14:paraId="77F70D12" w14:textId="77777777" w:rsidTr="00091399">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431EB0FC"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0B789DE0"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2D4D4430" w14:textId="77777777" w:rsidR="00EF1DC8" w:rsidRPr="00AC222A" w:rsidRDefault="00EF1DC8"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83DA68E" w14:textId="77777777" w:rsidR="00EF1DC8" w:rsidRPr="00AC222A" w:rsidRDefault="00EF1DC8" w:rsidP="00091399">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02B4325" w14:textId="77777777" w:rsidR="00EF1DC8" w:rsidRPr="00AC222A" w:rsidRDefault="00EF1DC8" w:rsidP="00091399">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56BBA6B3" w14:textId="77777777" w:rsidR="00EF1DC8" w:rsidRPr="00AC222A" w:rsidRDefault="00EF1DC8" w:rsidP="00091399">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EF1DC8" w:rsidRPr="00AC222A" w14:paraId="1E083EE5" w14:textId="77777777" w:rsidTr="00091399">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5BBD68E5"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0C6DEEB0" w14:textId="1AA097DE" w:rsidR="00EF1DC8" w:rsidRPr="00AC222A" w:rsidRDefault="00EF1DC8" w:rsidP="00091399">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06A9314" w14:textId="77777777" w:rsidR="00EF1DC8" w:rsidRPr="00AC222A" w:rsidRDefault="00EF1DC8" w:rsidP="00091399">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4399487F" w14:textId="397AA095" w:rsidR="00EF1DC8" w:rsidRPr="00AC222A" w:rsidRDefault="003C5E18" w:rsidP="00091399">
            <w:pPr>
              <w:spacing w:before="120" w:after="120"/>
              <w:ind w:right="5"/>
              <w:rPr>
                <w:rFonts w:asciiTheme="majorHAnsi" w:hAnsiTheme="majorHAnsi" w:cstheme="majorHAnsi"/>
                <w:spacing w:val="1"/>
                <w:sz w:val="22"/>
                <w:szCs w:val="22"/>
              </w:rPr>
            </w:pPr>
            <w:r w:rsidRPr="003C5E18">
              <w:rPr>
                <w:rFonts w:asciiTheme="majorHAnsi" w:hAnsiTheme="majorHAnsi" w:cstheme="majorHAnsi"/>
                <w:spacing w:val="1"/>
                <w:sz w:val="22"/>
                <w:szCs w:val="22"/>
              </w:rPr>
              <w:t xml:space="preserve">Nombre de projets/études liés aux travaux dans le </w:t>
            </w:r>
            <w:r w:rsidRPr="003C5E18">
              <w:rPr>
                <w:rFonts w:asciiTheme="majorHAnsi" w:hAnsiTheme="majorHAnsi" w:cstheme="majorHAnsi"/>
                <w:spacing w:val="1"/>
                <w:sz w:val="22"/>
                <w:szCs w:val="22"/>
                <w:u w:val="single"/>
              </w:rPr>
              <w:t>domaine d’aménagement du territoire</w:t>
            </w:r>
            <w:r w:rsidRPr="003C5E18">
              <w:rPr>
                <w:rFonts w:asciiTheme="majorHAnsi" w:hAnsiTheme="majorHAnsi" w:cstheme="majorHAnsi"/>
                <w:spacing w:val="1"/>
                <w:sz w:val="22"/>
                <w:szCs w:val="22"/>
              </w:rPr>
              <w:t xml:space="preserve"> / la GIZC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6A7F0F1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277204B3"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5C2B14BA" w14:textId="77777777" w:rsidR="00EF1DC8" w:rsidRPr="00AC222A" w:rsidRDefault="00EF1DC8" w:rsidP="00091399">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7BC70B45" w14:textId="77777777" w:rsidR="00EF1DC8" w:rsidRPr="00AC222A" w:rsidRDefault="00EF1DC8" w:rsidP="00091399">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EF1DC8" w:rsidRPr="00AC222A" w14:paraId="4CE7D9E5" w14:textId="77777777" w:rsidTr="00091399">
        <w:trPr>
          <w:trHeight w:val="189"/>
        </w:trPr>
        <w:tc>
          <w:tcPr>
            <w:tcW w:w="1537" w:type="dxa"/>
            <w:vMerge/>
            <w:tcBorders>
              <w:top w:val="single" w:sz="4" w:space="0" w:color="auto"/>
              <w:left w:val="single" w:sz="4" w:space="0" w:color="auto"/>
              <w:right w:val="single" w:sz="4" w:space="0" w:color="000000"/>
            </w:tcBorders>
            <w:shd w:val="clear" w:color="auto" w:fill="auto"/>
          </w:tcPr>
          <w:p w14:paraId="3D618F2A"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62BE0C0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2FE07D94"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523E551B"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3C53CB7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75B097B2"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12B88C37"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C222A" w14:paraId="5EF26BCF" w14:textId="77777777" w:rsidTr="00091399">
        <w:trPr>
          <w:trHeight w:val="189"/>
        </w:trPr>
        <w:tc>
          <w:tcPr>
            <w:tcW w:w="1537" w:type="dxa"/>
            <w:vMerge/>
            <w:tcBorders>
              <w:left w:val="single" w:sz="4" w:space="0" w:color="auto"/>
              <w:bottom w:val="single" w:sz="4" w:space="0" w:color="auto"/>
              <w:right w:val="single" w:sz="4" w:space="0" w:color="000000"/>
            </w:tcBorders>
            <w:shd w:val="clear" w:color="auto" w:fill="auto"/>
          </w:tcPr>
          <w:p w14:paraId="759EFDB4"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6F77E896"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6622A89E"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5AABA56A"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05F5C28E"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40357C6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11816" w14:paraId="608EDBAC" w14:textId="77777777" w:rsidTr="00091399">
        <w:trPr>
          <w:trHeight w:val="189"/>
        </w:trPr>
        <w:tc>
          <w:tcPr>
            <w:tcW w:w="1537" w:type="dxa"/>
            <w:vMerge/>
            <w:tcBorders>
              <w:left w:val="single" w:sz="4" w:space="0" w:color="auto"/>
              <w:bottom w:val="single" w:sz="4" w:space="0" w:color="auto"/>
              <w:right w:val="single" w:sz="4" w:space="0" w:color="000000"/>
            </w:tcBorders>
            <w:shd w:val="clear" w:color="auto" w:fill="auto"/>
          </w:tcPr>
          <w:p w14:paraId="151ECFB9"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5A13B8C8"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41A4C2EC" w14:textId="77777777" w:rsidR="00EF1DC8" w:rsidRPr="00AC222A" w:rsidRDefault="00EF1DC8" w:rsidP="00091399">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68D6B1A5" w14:textId="77777777" w:rsidR="00EF1DC8" w:rsidRPr="00AC222A" w:rsidRDefault="00EF1DC8" w:rsidP="00091399">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0F6A05F3" w14:textId="77777777" w:rsidR="00EF1DC8" w:rsidRPr="00A11816" w:rsidRDefault="00EF1DC8" w:rsidP="00091399">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7172EA2E" w14:textId="77777777" w:rsidR="00EF1DC8" w:rsidRPr="00A11816" w:rsidRDefault="00EF1DC8" w:rsidP="00091399">
            <w:pPr>
              <w:spacing w:before="120" w:after="120"/>
              <w:ind w:right="5"/>
              <w:jc w:val="both"/>
              <w:rPr>
                <w:rFonts w:asciiTheme="majorHAnsi" w:hAnsiTheme="majorHAnsi" w:cstheme="majorHAnsi"/>
                <w:spacing w:val="1"/>
                <w:sz w:val="22"/>
                <w:szCs w:val="22"/>
                <w:lang w:val="en-GB"/>
              </w:rPr>
            </w:pPr>
          </w:p>
        </w:tc>
      </w:tr>
      <w:tr w:rsidR="00EF1DC8" w:rsidRPr="00A11816" w14:paraId="28EB2497" w14:textId="77777777" w:rsidTr="00091399">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638E4427" w14:textId="77777777" w:rsidR="00EF1DC8" w:rsidRDefault="00EF1DC8" w:rsidP="00091399">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63D970DF" w14:textId="77777777" w:rsidR="00EF1DC8" w:rsidRPr="00A62FE8" w:rsidRDefault="00EF1DC8" w:rsidP="00091399">
            <w:pPr>
              <w:spacing w:before="120" w:after="120"/>
              <w:ind w:right="5"/>
              <w:rPr>
                <w:rFonts w:asciiTheme="majorHAnsi" w:hAnsiTheme="majorHAnsi" w:cstheme="majorHAnsi"/>
                <w:spacing w:val="1"/>
                <w:sz w:val="22"/>
                <w:szCs w:val="22"/>
                <w:lang w:val="fr-BE"/>
              </w:rPr>
            </w:pPr>
          </w:p>
          <w:p w14:paraId="27CBF9A6" w14:textId="77777777" w:rsidR="00EF1DC8" w:rsidRPr="00A62FE8" w:rsidRDefault="00EF1DC8" w:rsidP="00091399">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57351897"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2AFD370B"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4F3560D6"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DD0C24A"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5CBA74D6"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78211B6B"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2925C45E"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EF1DC8" w:rsidRPr="00A11816" w14:paraId="4A6B5A62" w14:textId="77777777" w:rsidTr="00091399">
        <w:trPr>
          <w:trHeight w:val="189"/>
        </w:trPr>
        <w:tc>
          <w:tcPr>
            <w:tcW w:w="1537" w:type="dxa"/>
            <w:vMerge/>
            <w:tcBorders>
              <w:left w:val="single" w:sz="4" w:space="0" w:color="auto"/>
              <w:bottom w:val="single" w:sz="4" w:space="0" w:color="auto"/>
              <w:right w:val="single" w:sz="4" w:space="0" w:color="000000"/>
            </w:tcBorders>
            <w:shd w:val="clear" w:color="auto" w:fill="auto"/>
          </w:tcPr>
          <w:p w14:paraId="5FE7718C" w14:textId="77777777" w:rsidR="00EF1DC8" w:rsidRPr="00A62FE8" w:rsidRDefault="00EF1DC8" w:rsidP="00091399">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4CFBE6A5" w14:textId="77777777" w:rsidR="00EF1DC8" w:rsidRPr="00A62FE8" w:rsidRDefault="00EF1DC8" w:rsidP="00091399">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76CC1929" w14:textId="77777777" w:rsidR="00EF1DC8" w:rsidRPr="00A62FE8" w:rsidRDefault="00EF1DC8" w:rsidP="00091399">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0EEE3634"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3A2298D" w14:textId="77777777" w:rsidR="00EF1DC8" w:rsidRPr="00A62FE8" w:rsidRDefault="00EF1DC8" w:rsidP="00091399">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5F20FD0F"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F990570" w14:textId="77777777" w:rsidR="00EF1DC8" w:rsidRPr="00A62FE8" w:rsidRDefault="00EF1DC8" w:rsidP="00091399">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7C725D1F" w14:textId="77777777" w:rsidR="00EF1DC8" w:rsidRPr="00A62FE8" w:rsidRDefault="00EF1DC8" w:rsidP="00091399">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7403F1A1"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EF1DC8">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Aux fins de l'établissement des motifs énoncés au point 5. de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2" w:name="_Hlk28383057"/>
      <w:bookmarkEnd w:id="2"/>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355D1ECF"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CE71F5">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3712CF">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3"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Centre d'activités régionales pour le Programme d'actions prioritaires (CAR/PAP), Kraj Sv. Ivana 11, 21000 Split, Croatie</w:t>
      </w:r>
    </w:p>
    <w:p w14:paraId="623A0A64" w14:textId="268EF350"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C05217">
        <w:rPr>
          <w:rFonts w:ascii="Calibri" w:hAnsi="Calibri" w:cs="Calibri"/>
          <w:color w:val="000000"/>
          <w:sz w:val="22"/>
          <w:szCs w:val="22"/>
        </w:rPr>
        <w:t xml:space="preserve">Appel d'offres </w:t>
      </w:r>
      <w:r w:rsidR="002754CB" w:rsidRPr="00C05217">
        <w:rPr>
          <w:rFonts w:ascii="Calibri" w:hAnsi="Calibri" w:cs="Calibri"/>
          <w:color w:val="000000"/>
          <w:sz w:val="22"/>
          <w:szCs w:val="22"/>
        </w:rPr>
        <w:t xml:space="preserve">- Soumissionnaire pour fournir </w:t>
      </w:r>
      <w:r w:rsidR="003029D6" w:rsidRPr="00C05217">
        <w:rPr>
          <w:rFonts w:ascii="Calibri" w:hAnsi="Calibri" w:cs="Calibri"/>
          <w:color w:val="000000"/>
          <w:sz w:val="22"/>
          <w:szCs w:val="22"/>
        </w:rPr>
        <w:t>l’é</w:t>
      </w:r>
      <w:r w:rsidR="009E0363" w:rsidRPr="00C05217">
        <w:rPr>
          <w:rFonts w:ascii="Calibri" w:hAnsi="Calibri" w:cs="Calibri"/>
          <w:color w:val="000000"/>
          <w:sz w:val="22"/>
          <w:szCs w:val="22"/>
        </w:rPr>
        <w:t>tude pour l’actualisation</w:t>
      </w:r>
      <w:r w:rsidR="003029D6" w:rsidRPr="00C05217">
        <w:rPr>
          <w:rFonts w:ascii="Calibri" w:hAnsi="Calibri" w:cs="Calibri"/>
          <w:color w:val="000000"/>
          <w:sz w:val="22"/>
          <w:szCs w:val="22"/>
        </w:rPr>
        <w:t xml:space="preserve"> et </w:t>
      </w:r>
      <w:r w:rsidR="009E0363" w:rsidRPr="00C05217">
        <w:rPr>
          <w:rFonts w:ascii="Calibri" w:hAnsi="Calibri" w:cs="Calibri"/>
          <w:color w:val="000000"/>
          <w:sz w:val="22"/>
          <w:szCs w:val="22"/>
        </w:rPr>
        <w:t xml:space="preserve">finalisation </w:t>
      </w:r>
      <w:r w:rsidR="003029D6" w:rsidRPr="00C05217">
        <w:rPr>
          <w:rFonts w:ascii="Calibri" w:hAnsi="Calibri" w:cs="Calibri"/>
          <w:color w:val="000000"/>
          <w:sz w:val="22"/>
          <w:szCs w:val="22"/>
        </w:rPr>
        <w:t xml:space="preserve">du SRL TTA (Maroc) : section </w:t>
      </w:r>
      <w:r w:rsidR="00957752" w:rsidRPr="00C05217">
        <w:rPr>
          <w:rFonts w:ascii="Calibri" w:hAnsi="Calibri" w:cs="Calibri"/>
          <w:color w:val="000000"/>
          <w:sz w:val="22"/>
          <w:szCs w:val="22"/>
        </w:rPr>
        <w:t>aménagement du territoire</w:t>
      </w:r>
      <w:r w:rsidR="00D03A4A" w:rsidRPr="00C05217">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personne(s)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d’approvisionnement</w:t>
            </w:r>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Prix de l’offre :</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r>
              <w:rPr>
                <w:rFonts w:ascii="Calibri" w:hAnsi="Calibri" w:cs="Calibri"/>
                <w:b/>
                <w:bCs/>
                <w:color w:val="000000"/>
                <w:spacing w:val="-1"/>
                <w:sz w:val="22"/>
                <w:szCs w:val="22"/>
              </w:rPr>
              <w:t>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52FA489"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4" w:name="_Hlk28468335"/>
      <w:r>
        <w:rPr>
          <w:rFonts w:ascii="Calibri" w:hAnsi="Calibri" w:cs="Calibri"/>
          <w:color w:val="000000"/>
          <w:spacing w:val="-10"/>
          <w:sz w:val="20"/>
        </w:rPr>
        <w:t>(Signature d’un représentant juridique)</w:t>
      </w:r>
      <w:bookmarkEnd w:id="4"/>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r>
              <w:rPr>
                <w:rFonts w:ascii="Calibri" w:hAnsi="Calibri" w:cs="Calibri"/>
                <w:sz w:val="22"/>
                <w:szCs w:val="22"/>
                <w:lang w:val="en-GB"/>
              </w:rPr>
              <w:t>Rôle de l’expert</w:t>
            </w:r>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Année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3"/>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r>
        <w:rPr>
          <w:rFonts w:ascii="Calibri" w:hAnsi="Calibri" w:cs="Calibri"/>
          <w:b/>
          <w:bCs/>
          <w:sz w:val="32"/>
          <w:szCs w:val="32"/>
          <w:lang w:val="en-GB"/>
        </w:rPr>
        <w:t xml:space="preserve">Déclaration de coûts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Description du livrable</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Nombre d’unités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unitaire en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141745" w14:textId="487858F3"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Aménagement du territoire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2DCFB4" w14:textId="6169EF4F"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Aménagement du territoire pour la Mission II : </w:t>
            </w:r>
            <w:r w:rsidR="00347BAA" w:rsidRPr="00D03A4A">
              <w:rPr>
                <w:rFonts w:ascii="Calibri" w:hAnsi="Calibri" w:cs="Calibri"/>
                <w:b/>
                <w:bCs/>
                <w:spacing w:val="4"/>
                <w:sz w:val="22"/>
                <w:szCs w:val="22"/>
              </w:rPr>
              <w:t>Rapport sur le dispositif de suivi-évaluation et de reporting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shd w:val="clear" w:color="auto" w:fill="auto"/>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5" w:name="_Hlk28470189"/>
      <w:bookmarkEnd w:id="5"/>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8BA19" w14:textId="77777777" w:rsidR="00252FF0" w:rsidRDefault="00252FF0">
      <w:r>
        <w:separator/>
      </w:r>
    </w:p>
  </w:endnote>
  <w:endnote w:type="continuationSeparator" w:id="0">
    <w:p w14:paraId="4B7E5DCE" w14:textId="77777777" w:rsidR="00252FF0" w:rsidRDefault="0025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9D22" w14:textId="77777777" w:rsidR="00252FF0" w:rsidRDefault="00252FF0">
      <w:r>
        <w:separator/>
      </w:r>
    </w:p>
  </w:footnote>
  <w:footnote w:type="continuationSeparator" w:id="0">
    <w:p w14:paraId="4FA40DD0" w14:textId="77777777" w:rsidR="00252FF0" w:rsidRDefault="00252FF0">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8208636">
    <w:abstractNumId w:val="22"/>
  </w:num>
  <w:num w:numId="2" w16cid:durableId="1416587355">
    <w:abstractNumId w:val="19"/>
  </w:num>
  <w:num w:numId="3" w16cid:durableId="1610507277">
    <w:abstractNumId w:val="15"/>
  </w:num>
  <w:num w:numId="4" w16cid:durableId="1903833855">
    <w:abstractNumId w:val="11"/>
  </w:num>
  <w:num w:numId="5" w16cid:durableId="506670896">
    <w:abstractNumId w:val="1"/>
  </w:num>
  <w:num w:numId="6" w16cid:durableId="584798657">
    <w:abstractNumId w:val="5"/>
  </w:num>
  <w:num w:numId="7" w16cid:durableId="494495114">
    <w:abstractNumId w:val="7"/>
  </w:num>
  <w:num w:numId="8" w16cid:durableId="1315452847">
    <w:abstractNumId w:val="9"/>
  </w:num>
  <w:num w:numId="9" w16cid:durableId="1520587299">
    <w:abstractNumId w:val="3"/>
  </w:num>
  <w:num w:numId="10" w16cid:durableId="1344550549">
    <w:abstractNumId w:val="10"/>
  </w:num>
  <w:num w:numId="11" w16cid:durableId="1775245548">
    <w:abstractNumId w:val="2"/>
  </w:num>
  <w:num w:numId="12" w16cid:durableId="300035150">
    <w:abstractNumId w:val="4"/>
  </w:num>
  <w:num w:numId="13" w16cid:durableId="506022047">
    <w:abstractNumId w:val="12"/>
  </w:num>
  <w:num w:numId="14" w16cid:durableId="865100785">
    <w:abstractNumId w:val="13"/>
  </w:num>
  <w:num w:numId="15" w16cid:durableId="1247544077">
    <w:abstractNumId w:val="21"/>
  </w:num>
  <w:num w:numId="16" w16cid:durableId="372508645">
    <w:abstractNumId w:val="17"/>
  </w:num>
  <w:num w:numId="17" w16cid:durableId="1484933837">
    <w:abstractNumId w:val="20"/>
  </w:num>
  <w:num w:numId="18" w16cid:durableId="1058671558">
    <w:abstractNumId w:val="16"/>
  </w:num>
  <w:num w:numId="19" w16cid:durableId="397560778">
    <w:abstractNumId w:val="0"/>
  </w:num>
  <w:num w:numId="20" w16cid:durableId="532690135">
    <w:abstractNumId w:val="6"/>
  </w:num>
  <w:num w:numId="21" w16cid:durableId="987248823">
    <w:abstractNumId w:val="8"/>
  </w:num>
  <w:num w:numId="22" w16cid:durableId="1415132184">
    <w:abstractNumId w:val="14"/>
  </w:num>
  <w:num w:numId="23" w16cid:durableId="123581845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518A4"/>
    <w:rsid w:val="000522D2"/>
    <w:rsid w:val="00055E5A"/>
    <w:rsid w:val="00060241"/>
    <w:rsid w:val="0006102C"/>
    <w:rsid w:val="00061DC6"/>
    <w:rsid w:val="0006239C"/>
    <w:rsid w:val="00063895"/>
    <w:rsid w:val="0006400F"/>
    <w:rsid w:val="00065532"/>
    <w:rsid w:val="0006571A"/>
    <w:rsid w:val="00067673"/>
    <w:rsid w:val="00071906"/>
    <w:rsid w:val="00075561"/>
    <w:rsid w:val="00077376"/>
    <w:rsid w:val="00080EBF"/>
    <w:rsid w:val="00082A0D"/>
    <w:rsid w:val="00083F1C"/>
    <w:rsid w:val="0008425C"/>
    <w:rsid w:val="00086052"/>
    <w:rsid w:val="00092454"/>
    <w:rsid w:val="000945A4"/>
    <w:rsid w:val="000953B9"/>
    <w:rsid w:val="000A0479"/>
    <w:rsid w:val="000A0CBA"/>
    <w:rsid w:val="000A1776"/>
    <w:rsid w:val="000A1EA4"/>
    <w:rsid w:val="000A4355"/>
    <w:rsid w:val="000A5415"/>
    <w:rsid w:val="000A6556"/>
    <w:rsid w:val="000A6711"/>
    <w:rsid w:val="000B27DF"/>
    <w:rsid w:val="000C0943"/>
    <w:rsid w:val="000C7933"/>
    <w:rsid w:val="000D11CC"/>
    <w:rsid w:val="000D6837"/>
    <w:rsid w:val="000E0820"/>
    <w:rsid w:val="000E55CC"/>
    <w:rsid w:val="000E76D1"/>
    <w:rsid w:val="000E7A92"/>
    <w:rsid w:val="000F1B37"/>
    <w:rsid w:val="000F21B6"/>
    <w:rsid w:val="001005E2"/>
    <w:rsid w:val="001024A9"/>
    <w:rsid w:val="00103684"/>
    <w:rsid w:val="0010371C"/>
    <w:rsid w:val="0011296F"/>
    <w:rsid w:val="00123267"/>
    <w:rsid w:val="00124DAF"/>
    <w:rsid w:val="00134D9D"/>
    <w:rsid w:val="001352C3"/>
    <w:rsid w:val="00135A58"/>
    <w:rsid w:val="00137609"/>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087F"/>
    <w:rsid w:val="00222E6C"/>
    <w:rsid w:val="00231569"/>
    <w:rsid w:val="00231D2C"/>
    <w:rsid w:val="00233A85"/>
    <w:rsid w:val="002356AF"/>
    <w:rsid w:val="0023628C"/>
    <w:rsid w:val="002365A3"/>
    <w:rsid w:val="00243965"/>
    <w:rsid w:val="00247752"/>
    <w:rsid w:val="00247F4D"/>
    <w:rsid w:val="002505A3"/>
    <w:rsid w:val="00250EE4"/>
    <w:rsid w:val="00251250"/>
    <w:rsid w:val="0025130A"/>
    <w:rsid w:val="002516C7"/>
    <w:rsid w:val="00252FF0"/>
    <w:rsid w:val="00254D2B"/>
    <w:rsid w:val="0025553B"/>
    <w:rsid w:val="00255EC7"/>
    <w:rsid w:val="00260E01"/>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7548"/>
    <w:rsid w:val="003376FB"/>
    <w:rsid w:val="003407CD"/>
    <w:rsid w:val="00340DD4"/>
    <w:rsid w:val="003464EA"/>
    <w:rsid w:val="00347BAA"/>
    <w:rsid w:val="0035126A"/>
    <w:rsid w:val="003512AC"/>
    <w:rsid w:val="00356B3A"/>
    <w:rsid w:val="00365436"/>
    <w:rsid w:val="0036572E"/>
    <w:rsid w:val="00365AD2"/>
    <w:rsid w:val="003661A5"/>
    <w:rsid w:val="003701A5"/>
    <w:rsid w:val="003712AA"/>
    <w:rsid w:val="003712CF"/>
    <w:rsid w:val="00375F61"/>
    <w:rsid w:val="003826E4"/>
    <w:rsid w:val="003841E4"/>
    <w:rsid w:val="00384490"/>
    <w:rsid w:val="0038557C"/>
    <w:rsid w:val="00385924"/>
    <w:rsid w:val="00386BE2"/>
    <w:rsid w:val="003879C5"/>
    <w:rsid w:val="00392B3C"/>
    <w:rsid w:val="00392B5B"/>
    <w:rsid w:val="00396E8B"/>
    <w:rsid w:val="003B3734"/>
    <w:rsid w:val="003B523E"/>
    <w:rsid w:val="003C228F"/>
    <w:rsid w:val="003C4764"/>
    <w:rsid w:val="003C5E18"/>
    <w:rsid w:val="003D59BF"/>
    <w:rsid w:val="003D6C00"/>
    <w:rsid w:val="003E15F4"/>
    <w:rsid w:val="003E3686"/>
    <w:rsid w:val="003E3D52"/>
    <w:rsid w:val="003E69A3"/>
    <w:rsid w:val="003E7DD1"/>
    <w:rsid w:val="003F0C6B"/>
    <w:rsid w:val="003F1D1A"/>
    <w:rsid w:val="003F4831"/>
    <w:rsid w:val="003F756A"/>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8B0"/>
    <w:rsid w:val="00463A0B"/>
    <w:rsid w:val="00470685"/>
    <w:rsid w:val="004706EE"/>
    <w:rsid w:val="00485184"/>
    <w:rsid w:val="0048608F"/>
    <w:rsid w:val="00487194"/>
    <w:rsid w:val="00487CA1"/>
    <w:rsid w:val="00491553"/>
    <w:rsid w:val="0049211D"/>
    <w:rsid w:val="0049341A"/>
    <w:rsid w:val="004934BB"/>
    <w:rsid w:val="004A1DE3"/>
    <w:rsid w:val="004A2199"/>
    <w:rsid w:val="004A378F"/>
    <w:rsid w:val="004B1B6D"/>
    <w:rsid w:val="004B1D49"/>
    <w:rsid w:val="004B5A71"/>
    <w:rsid w:val="004B79D8"/>
    <w:rsid w:val="004C3D04"/>
    <w:rsid w:val="004C6A8F"/>
    <w:rsid w:val="004C72AD"/>
    <w:rsid w:val="004D502D"/>
    <w:rsid w:val="004D64DD"/>
    <w:rsid w:val="004D7620"/>
    <w:rsid w:val="004D773D"/>
    <w:rsid w:val="004E165B"/>
    <w:rsid w:val="004E2AA5"/>
    <w:rsid w:val="004E63DE"/>
    <w:rsid w:val="004F2BC2"/>
    <w:rsid w:val="004F5080"/>
    <w:rsid w:val="0050133E"/>
    <w:rsid w:val="00502D42"/>
    <w:rsid w:val="00503CEE"/>
    <w:rsid w:val="0050548E"/>
    <w:rsid w:val="00505F55"/>
    <w:rsid w:val="00513EF6"/>
    <w:rsid w:val="00515939"/>
    <w:rsid w:val="00536F1C"/>
    <w:rsid w:val="00542D5F"/>
    <w:rsid w:val="005437DE"/>
    <w:rsid w:val="00545F7D"/>
    <w:rsid w:val="0055209F"/>
    <w:rsid w:val="005530EF"/>
    <w:rsid w:val="0055603D"/>
    <w:rsid w:val="0056394A"/>
    <w:rsid w:val="00566517"/>
    <w:rsid w:val="0057028B"/>
    <w:rsid w:val="00571257"/>
    <w:rsid w:val="00576653"/>
    <w:rsid w:val="00576918"/>
    <w:rsid w:val="0058403D"/>
    <w:rsid w:val="0058612B"/>
    <w:rsid w:val="00586E3C"/>
    <w:rsid w:val="00590074"/>
    <w:rsid w:val="005A3757"/>
    <w:rsid w:val="005B45D0"/>
    <w:rsid w:val="005B5DA6"/>
    <w:rsid w:val="005B6117"/>
    <w:rsid w:val="005B6B3E"/>
    <w:rsid w:val="005C0EEF"/>
    <w:rsid w:val="005C2A2C"/>
    <w:rsid w:val="005E09D7"/>
    <w:rsid w:val="005E3C6F"/>
    <w:rsid w:val="005E4FA1"/>
    <w:rsid w:val="005E78EE"/>
    <w:rsid w:val="005F06A9"/>
    <w:rsid w:val="00603A75"/>
    <w:rsid w:val="006125E3"/>
    <w:rsid w:val="00623C64"/>
    <w:rsid w:val="006240BE"/>
    <w:rsid w:val="00624224"/>
    <w:rsid w:val="00624851"/>
    <w:rsid w:val="00624B17"/>
    <w:rsid w:val="006259C0"/>
    <w:rsid w:val="00634BEF"/>
    <w:rsid w:val="006360BD"/>
    <w:rsid w:val="006372A1"/>
    <w:rsid w:val="00640625"/>
    <w:rsid w:val="00645EF8"/>
    <w:rsid w:val="00646B95"/>
    <w:rsid w:val="0065506F"/>
    <w:rsid w:val="0065651A"/>
    <w:rsid w:val="00657C8E"/>
    <w:rsid w:val="00660AF2"/>
    <w:rsid w:val="0066365F"/>
    <w:rsid w:val="00666FDC"/>
    <w:rsid w:val="00674570"/>
    <w:rsid w:val="006908E6"/>
    <w:rsid w:val="006920E1"/>
    <w:rsid w:val="00692408"/>
    <w:rsid w:val="006935C0"/>
    <w:rsid w:val="006942AA"/>
    <w:rsid w:val="006A01F7"/>
    <w:rsid w:val="006A0E1A"/>
    <w:rsid w:val="006A61B1"/>
    <w:rsid w:val="006B4ADA"/>
    <w:rsid w:val="006C486B"/>
    <w:rsid w:val="006C77DB"/>
    <w:rsid w:val="006D043A"/>
    <w:rsid w:val="006D1AE1"/>
    <w:rsid w:val="006D5701"/>
    <w:rsid w:val="006D7E79"/>
    <w:rsid w:val="006E00BE"/>
    <w:rsid w:val="006E01A2"/>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43F23"/>
    <w:rsid w:val="00755C39"/>
    <w:rsid w:val="00761117"/>
    <w:rsid w:val="00761254"/>
    <w:rsid w:val="0076242C"/>
    <w:rsid w:val="00764FB4"/>
    <w:rsid w:val="00765C93"/>
    <w:rsid w:val="00771AF8"/>
    <w:rsid w:val="007720A7"/>
    <w:rsid w:val="00772B69"/>
    <w:rsid w:val="00772C65"/>
    <w:rsid w:val="0077587D"/>
    <w:rsid w:val="007776AF"/>
    <w:rsid w:val="00783461"/>
    <w:rsid w:val="00786435"/>
    <w:rsid w:val="00790401"/>
    <w:rsid w:val="007A05C3"/>
    <w:rsid w:val="007A3AA6"/>
    <w:rsid w:val="007A6418"/>
    <w:rsid w:val="007A6FBF"/>
    <w:rsid w:val="007B10AF"/>
    <w:rsid w:val="007B61A2"/>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67F5"/>
    <w:rsid w:val="008E06B9"/>
    <w:rsid w:val="008F2B3A"/>
    <w:rsid w:val="008F58CA"/>
    <w:rsid w:val="008F630C"/>
    <w:rsid w:val="008F77D6"/>
    <w:rsid w:val="00906160"/>
    <w:rsid w:val="009062A8"/>
    <w:rsid w:val="00914611"/>
    <w:rsid w:val="00914CBD"/>
    <w:rsid w:val="00915A56"/>
    <w:rsid w:val="00921351"/>
    <w:rsid w:val="00924955"/>
    <w:rsid w:val="00927135"/>
    <w:rsid w:val="00930008"/>
    <w:rsid w:val="00933B95"/>
    <w:rsid w:val="00933DCC"/>
    <w:rsid w:val="0093425A"/>
    <w:rsid w:val="00936DA6"/>
    <w:rsid w:val="009374DE"/>
    <w:rsid w:val="0094582D"/>
    <w:rsid w:val="00946180"/>
    <w:rsid w:val="009506F7"/>
    <w:rsid w:val="00955A09"/>
    <w:rsid w:val="00957752"/>
    <w:rsid w:val="009616F1"/>
    <w:rsid w:val="00962E26"/>
    <w:rsid w:val="00964434"/>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71CB"/>
    <w:rsid w:val="009D30CC"/>
    <w:rsid w:val="009E0363"/>
    <w:rsid w:val="009E0629"/>
    <w:rsid w:val="009E50A0"/>
    <w:rsid w:val="009E59D4"/>
    <w:rsid w:val="009F02EF"/>
    <w:rsid w:val="009F57B4"/>
    <w:rsid w:val="00A00302"/>
    <w:rsid w:val="00A022E2"/>
    <w:rsid w:val="00A04717"/>
    <w:rsid w:val="00A11816"/>
    <w:rsid w:val="00A219BB"/>
    <w:rsid w:val="00A22C36"/>
    <w:rsid w:val="00A2637D"/>
    <w:rsid w:val="00A26D18"/>
    <w:rsid w:val="00A3251A"/>
    <w:rsid w:val="00A33169"/>
    <w:rsid w:val="00A35F97"/>
    <w:rsid w:val="00A56727"/>
    <w:rsid w:val="00A630FF"/>
    <w:rsid w:val="00A633B1"/>
    <w:rsid w:val="00A671B2"/>
    <w:rsid w:val="00A70DF3"/>
    <w:rsid w:val="00A71D04"/>
    <w:rsid w:val="00A7376A"/>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78DE"/>
    <w:rsid w:val="00B014D0"/>
    <w:rsid w:val="00B0361E"/>
    <w:rsid w:val="00B11631"/>
    <w:rsid w:val="00B122AC"/>
    <w:rsid w:val="00B12D84"/>
    <w:rsid w:val="00B2582E"/>
    <w:rsid w:val="00B26A10"/>
    <w:rsid w:val="00B33023"/>
    <w:rsid w:val="00B422C9"/>
    <w:rsid w:val="00B440E3"/>
    <w:rsid w:val="00B456F5"/>
    <w:rsid w:val="00B47CC1"/>
    <w:rsid w:val="00B527AA"/>
    <w:rsid w:val="00B52E5B"/>
    <w:rsid w:val="00B54C45"/>
    <w:rsid w:val="00B54E14"/>
    <w:rsid w:val="00B57F39"/>
    <w:rsid w:val="00B658F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05217"/>
    <w:rsid w:val="00C114AA"/>
    <w:rsid w:val="00C1637C"/>
    <w:rsid w:val="00C16F38"/>
    <w:rsid w:val="00C2548B"/>
    <w:rsid w:val="00C34BBE"/>
    <w:rsid w:val="00C3603A"/>
    <w:rsid w:val="00C37F99"/>
    <w:rsid w:val="00C45F5D"/>
    <w:rsid w:val="00C47B6A"/>
    <w:rsid w:val="00C50B9E"/>
    <w:rsid w:val="00C51E7A"/>
    <w:rsid w:val="00C61DC6"/>
    <w:rsid w:val="00C70EDE"/>
    <w:rsid w:val="00C719BB"/>
    <w:rsid w:val="00C838F9"/>
    <w:rsid w:val="00C91658"/>
    <w:rsid w:val="00C94F27"/>
    <w:rsid w:val="00CA1F20"/>
    <w:rsid w:val="00CA4378"/>
    <w:rsid w:val="00CB236A"/>
    <w:rsid w:val="00CB283C"/>
    <w:rsid w:val="00CC183B"/>
    <w:rsid w:val="00CC3EE1"/>
    <w:rsid w:val="00CC6852"/>
    <w:rsid w:val="00CD1466"/>
    <w:rsid w:val="00CD153F"/>
    <w:rsid w:val="00CE50B6"/>
    <w:rsid w:val="00CE640E"/>
    <w:rsid w:val="00CE71F5"/>
    <w:rsid w:val="00CF1FE5"/>
    <w:rsid w:val="00CF206C"/>
    <w:rsid w:val="00D03A4A"/>
    <w:rsid w:val="00D05C96"/>
    <w:rsid w:val="00D06A4C"/>
    <w:rsid w:val="00D13873"/>
    <w:rsid w:val="00D16B8F"/>
    <w:rsid w:val="00D25EEE"/>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A1D3D"/>
    <w:rsid w:val="00DA2930"/>
    <w:rsid w:val="00DB3F0D"/>
    <w:rsid w:val="00DB6743"/>
    <w:rsid w:val="00DB6C54"/>
    <w:rsid w:val="00DC69E3"/>
    <w:rsid w:val="00DD211D"/>
    <w:rsid w:val="00DE0BCA"/>
    <w:rsid w:val="00DE579E"/>
    <w:rsid w:val="00DE7FC8"/>
    <w:rsid w:val="00DF7695"/>
    <w:rsid w:val="00E04739"/>
    <w:rsid w:val="00E04C39"/>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5045E"/>
    <w:rsid w:val="00E52534"/>
    <w:rsid w:val="00E62446"/>
    <w:rsid w:val="00E67889"/>
    <w:rsid w:val="00E72067"/>
    <w:rsid w:val="00E7211A"/>
    <w:rsid w:val="00E76424"/>
    <w:rsid w:val="00E8130B"/>
    <w:rsid w:val="00E8449C"/>
    <w:rsid w:val="00E8517C"/>
    <w:rsid w:val="00E86C79"/>
    <w:rsid w:val="00EA4605"/>
    <w:rsid w:val="00EB0059"/>
    <w:rsid w:val="00EB06BB"/>
    <w:rsid w:val="00EB3089"/>
    <w:rsid w:val="00EB4090"/>
    <w:rsid w:val="00EB4AF0"/>
    <w:rsid w:val="00EB7F62"/>
    <w:rsid w:val="00EC0E89"/>
    <w:rsid w:val="00EC6406"/>
    <w:rsid w:val="00ED1420"/>
    <w:rsid w:val="00ED23A5"/>
    <w:rsid w:val="00ED519B"/>
    <w:rsid w:val="00ED6928"/>
    <w:rsid w:val="00ED6966"/>
    <w:rsid w:val="00EE1278"/>
    <w:rsid w:val="00EE359D"/>
    <w:rsid w:val="00EE6CAF"/>
    <w:rsid w:val="00EF0CAA"/>
    <w:rsid w:val="00EF1B79"/>
    <w:rsid w:val="00EF1DC8"/>
    <w:rsid w:val="00EF2CB6"/>
    <w:rsid w:val="00EF3B60"/>
    <w:rsid w:val="00EF5AAF"/>
    <w:rsid w:val="00EF67CE"/>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3AF4"/>
    <w:rsid w:val="00F37F9A"/>
    <w:rsid w:val="00F40C7F"/>
    <w:rsid w:val="00F41178"/>
    <w:rsid w:val="00F41753"/>
    <w:rsid w:val="00F4352D"/>
    <w:rsid w:val="00F45A56"/>
    <w:rsid w:val="00F50F16"/>
    <w:rsid w:val="00F56F91"/>
    <w:rsid w:val="00F72B22"/>
    <w:rsid w:val="00F7511F"/>
    <w:rsid w:val="00F75667"/>
    <w:rsid w:val="00F7709A"/>
    <w:rsid w:val="00F776EA"/>
    <w:rsid w:val="00F844F4"/>
    <w:rsid w:val="00F86138"/>
    <w:rsid w:val="00F87F74"/>
    <w:rsid w:val="00F93F2F"/>
    <w:rsid w:val="00FA44CE"/>
    <w:rsid w:val="00FA521E"/>
    <w:rsid w:val="00FB287A"/>
    <w:rsid w:val="00FC0B1B"/>
    <w:rsid w:val="00FC393D"/>
    <w:rsid w:val="00FD05D8"/>
    <w:rsid w:val="00FD1724"/>
    <w:rsid w:val="00FD4C9E"/>
    <w:rsid w:val="00FD55C7"/>
    <w:rsid w:val="00FE1AF4"/>
    <w:rsid w:val="00FE38D5"/>
    <w:rsid w:val="00FE4CD3"/>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077-8872-498A-8237-2A3C130E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5425</Words>
  <Characters>30923</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9</cp:revision>
  <cp:lastPrinted>2025-06-24T13:55:00Z</cp:lastPrinted>
  <dcterms:created xsi:type="dcterms:W3CDTF">2025-07-02T14:37:00Z</dcterms:created>
  <dcterms:modified xsi:type="dcterms:W3CDTF">2025-07-08T08:49:00Z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