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5915" w14:textId="77777777" w:rsidR="00ED2B59" w:rsidRPr="001116C5" w:rsidRDefault="00ED2B59" w:rsidP="00ED2B59">
      <w:pPr>
        <w:rPr>
          <w:rFonts w:asciiTheme="minorHAnsi" w:hAnsiTheme="minorHAnsi" w:cstheme="minorHAnsi"/>
          <w:szCs w:val="22"/>
          <w:lang w:val="hr-HR"/>
        </w:rPr>
      </w:pPr>
    </w:p>
    <w:p w14:paraId="07A4D44C" w14:textId="77777777" w:rsidR="00FE7856" w:rsidRPr="001116C5" w:rsidRDefault="00FE7856" w:rsidP="00FE7856">
      <w:pPr>
        <w:jc w:val="center"/>
        <w:rPr>
          <w:rFonts w:asciiTheme="minorHAnsi" w:hAnsiTheme="minorHAnsi" w:cstheme="minorHAnsi"/>
          <w:szCs w:val="22"/>
          <w:lang w:val="hr-HR"/>
        </w:rPr>
      </w:pPr>
    </w:p>
    <w:p w14:paraId="24101511" w14:textId="77777777" w:rsidR="00FE7856" w:rsidRPr="001116C5" w:rsidRDefault="00FE7856" w:rsidP="00FE7856">
      <w:pPr>
        <w:spacing w:line="360" w:lineRule="auto"/>
        <w:jc w:val="center"/>
        <w:rPr>
          <w:rFonts w:asciiTheme="minorHAnsi" w:hAnsiTheme="minorHAnsi" w:cstheme="minorHAnsi"/>
          <w:b/>
          <w:szCs w:val="22"/>
          <w:lang w:val="hr-HR"/>
        </w:rPr>
      </w:pPr>
    </w:p>
    <w:p w14:paraId="1155D3E0" w14:textId="77777777" w:rsidR="00FE7856" w:rsidRPr="001116C5" w:rsidRDefault="00FE7856" w:rsidP="00FE7856">
      <w:pPr>
        <w:spacing w:line="360" w:lineRule="auto"/>
        <w:jc w:val="center"/>
        <w:rPr>
          <w:rFonts w:asciiTheme="minorHAnsi" w:hAnsiTheme="minorHAnsi" w:cstheme="minorHAnsi"/>
          <w:b/>
          <w:szCs w:val="22"/>
          <w:lang w:val="hr-HR"/>
        </w:rPr>
      </w:pPr>
    </w:p>
    <w:p w14:paraId="496A193A" w14:textId="77777777" w:rsidR="00FE7856" w:rsidRPr="001116C5" w:rsidRDefault="00FE7856" w:rsidP="00FE7856">
      <w:pPr>
        <w:spacing w:line="360" w:lineRule="auto"/>
        <w:jc w:val="center"/>
        <w:rPr>
          <w:rFonts w:asciiTheme="minorHAnsi" w:hAnsiTheme="minorHAnsi" w:cstheme="minorHAnsi"/>
          <w:b/>
          <w:szCs w:val="22"/>
          <w:lang w:val="hr-HR"/>
        </w:rPr>
      </w:pPr>
    </w:p>
    <w:p w14:paraId="46CE01F6" w14:textId="77777777" w:rsidR="00FE7856" w:rsidRPr="001116C5" w:rsidRDefault="00FE7856" w:rsidP="00FE7856">
      <w:pPr>
        <w:spacing w:line="360" w:lineRule="auto"/>
        <w:jc w:val="center"/>
        <w:rPr>
          <w:rFonts w:asciiTheme="minorHAnsi" w:hAnsiTheme="minorHAnsi" w:cstheme="minorHAnsi"/>
          <w:b/>
          <w:szCs w:val="22"/>
          <w:lang w:val="hr-HR"/>
        </w:rPr>
      </w:pPr>
    </w:p>
    <w:p w14:paraId="597113F7" w14:textId="0656B0EC" w:rsidR="00FE7856" w:rsidRPr="001116C5" w:rsidRDefault="00FE7856" w:rsidP="00FE7856">
      <w:pPr>
        <w:spacing w:line="360" w:lineRule="auto"/>
        <w:jc w:val="center"/>
        <w:rPr>
          <w:rFonts w:asciiTheme="minorHAnsi" w:hAnsiTheme="minorHAnsi" w:cstheme="minorHAnsi"/>
          <w:b/>
          <w:szCs w:val="22"/>
          <w:lang w:val="hr-HR"/>
        </w:rPr>
      </w:pPr>
      <w:r w:rsidRPr="001116C5">
        <w:rPr>
          <w:rFonts w:asciiTheme="minorHAnsi" w:hAnsiTheme="minorHAnsi" w:cstheme="minorHAnsi"/>
          <w:b/>
          <w:szCs w:val="22"/>
          <w:lang w:val="hr-HR"/>
        </w:rPr>
        <w:t xml:space="preserve">CENTAR ZA REGIONALNE AKTIVNOSTI PROGRAMA </w:t>
      </w:r>
    </w:p>
    <w:p w14:paraId="6217D8F3" w14:textId="77777777" w:rsidR="00FE7856" w:rsidRPr="001116C5" w:rsidRDefault="00FE7856" w:rsidP="00FE7856">
      <w:pPr>
        <w:spacing w:line="360" w:lineRule="auto"/>
        <w:jc w:val="center"/>
        <w:rPr>
          <w:rFonts w:asciiTheme="minorHAnsi" w:hAnsiTheme="minorHAnsi" w:cstheme="minorHAnsi"/>
          <w:b/>
          <w:szCs w:val="22"/>
          <w:lang w:val="hr-HR"/>
        </w:rPr>
      </w:pPr>
      <w:r w:rsidRPr="001116C5">
        <w:rPr>
          <w:rFonts w:asciiTheme="minorHAnsi" w:hAnsiTheme="minorHAnsi" w:cstheme="minorHAnsi"/>
          <w:b/>
          <w:szCs w:val="22"/>
          <w:lang w:val="hr-HR"/>
        </w:rPr>
        <w:t xml:space="preserve">PRIORITETNIH AKCIJA </w:t>
      </w:r>
    </w:p>
    <w:p w14:paraId="47EAC389" w14:textId="77777777" w:rsidR="00FE7856" w:rsidRPr="001116C5" w:rsidRDefault="00FE7856" w:rsidP="00FE7856">
      <w:pPr>
        <w:rPr>
          <w:rFonts w:asciiTheme="minorHAnsi" w:hAnsiTheme="minorHAnsi" w:cstheme="minorHAnsi"/>
          <w:szCs w:val="22"/>
          <w:lang w:val="hr-HR"/>
        </w:rPr>
      </w:pPr>
    </w:p>
    <w:p w14:paraId="145C2FC5" w14:textId="77777777" w:rsidR="00FE7856" w:rsidRPr="001116C5" w:rsidRDefault="00FE7856" w:rsidP="00FE7856">
      <w:pPr>
        <w:rPr>
          <w:rFonts w:asciiTheme="minorHAnsi" w:hAnsiTheme="minorHAnsi" w:cstheme="minorHAnsi"/>
          <w:szCs w:val="22"/>
          <w:lang w:val="hr-HR"/>
        </w:rPr>
      </w:pPr>
    </w:p>
    <w:p w14:paraId="2FA1599B" w14:textId="77777777" w:rsidR="00FE7856" w:rsidRPr="001116C5" w:rsidRDefault="00FE7856" w:rsidP="00FE7856">
      <w:pPr>
        <w:spacing w:line="360" w:lineRule="auto"/>
        <w:jc w:val="center"/>
        <w:rPr>
          <w:rFonts w:asciiTheme="minorHAnsi" w:hAnsiTheme="minorHAnsi" w:cstheme="minorHAnsi"/>
          <w:b/>
          <w:szCs w:val="22"/>
          <w:lang w:val="hr-HR"/>
        </w:rPr>
      </w:pPr>
    </w:p>
    <w:p w14:paraId="5BF75C42" w14:textId="77777777" w:rsidR="00FE7856" w:rsidRPr="001116C5" w:rsidRDefault="00FE7856" w:rsidP="00FE7856">
      <w:pPr>
        <w:spacing w:line="360" w:lineRule="auto"/>
        <w:jc w:val="center"/>
        <w:rPr>
          <w:rFonts w:asciiTheme="minorHAnsi" w:hAnsiTheme="minorHAnsi" w:cstheme="minorHAnsi"/>
          <w:b/>
          <w:szCs w:val="22"/>
          <w:lang w:val="hr-HR"/>
        </w:rPr>
      </w:pPr>
    </w:p>
    <w:p w14:paraId="3B9B3EB9" w14:textId="77777777" w:rsidR="00FE7856" w:rsidRPr="001116C5" w:rsidRDefault="00FE7856" w:rsidP="00FE7856">
      <w:pPr>
        <w:spacing w:line="360" w:lineRule="auto"/>
        <w:jc w:val="center"/>
        <w:rPr>
          <w:rFonts w:asciiTheme="minorHAnsi" w:hAnsiTheme="minorHAnsi" w:cstheme="minorHAnsi"/>
          <w:b/>
          <w:szCs w:val="22"/>
          <w:lang w:val="hr-HR"/>
        </w:rPr>
      </w:pPr>
    </w:p>
    <w:p w14:paraId="4DC20484" w14:textId="77777777" w:rsidR="00FE7856" w:rsidRPr="001116C5" w:rsidRDefault="00FE7856" w:rsidP="00FE7856">
      <w:pPr>
        <w:spacing w:line="360" w:lineRule="auto"/>
        <w:jc w:val="center"/>
        <w:rPr>
          <w:rFonts w:asciiTheme="minorHAnsi" w:hAnsiTheme="minorHAnsi" w:cstheme="minorHAnsi"/>
          <w:b/>
          <w:szCs w:val="22"/>
          <w:lang w:val="hr-HR"/>
        </w:rPr>
      </w:pPr>
    </w:p>
    <w:p w14:paraId="27341678" w14:textId="7AD7F7F3" w:rsidR="00FE7856" w:rsidRPr="001116C5" w:rsidRDefault="00FE7856" w:rsidP="00FE7856">
      <w:pPr>
        <w:spacing w:line="360" w:lineRule="auto"/>
        <w:jc w:val="center"/>
        <w:rPr>
          <w:rFonts w:asciiTheme="minorHAnsi" w:hAnsiTheme="minorHAnsi" w:cstheme="minorHAnsi"/>
          <w:b/>
          <w:szCs w:val="22"/>
          <w:lang w:val="hr-HR"/>
        </w:rPr>
      </w:pPr>
      <w:r w:rsidRPr="001116C5">
        <w:rPr>
          <w:rFonts w:asciiTheme="minorHAnsi" w:hAnsiTheme="minorHAnsi" w:cstheme="minorHAnsi"/>
          <w:b/>
          <w:szCs w:val="22"/>
          <w:lang w:val="hr-HR"/>
        </w:rPr>
        <w:t>BILJEŠKE UZ FINANCIJSKE IZVJEŠTAJE ZA 202</w:t>
      </w:r>
      <w:r w:rsidR="00E818F7" w:rsidRPr="001116C5">
        <w:rPr>
          <w:rFonts w:asciiTheme="minorHAnsi" w:hAnsiTheme="minorHAnsi" w:cstheme="minorHAnsi"/>
          <w:b/>
          <w:szCs w:val="22"/>
          <w:lang w:val="hr-HR"/>
        </w:rPr>
        <w:t>3</w:t>
      </w:r>
      <w:r w:rsidRPr="001116C5">
        <w:rPr>
          <w:rFonts w:asciiTheme="minorHAnsi" w:hAnsiTheme="minorHAnsi" w:cstheme="minorHAnsi"/>
          <w:b/>
          <w:szCs w:val="22"/>
          <w:lang w:val="hr-HR"/>
        </w:rPr>
        <w:t xml:space="preserve">. GODINU </w:t>
      </w:r>
    </w:p>
    <w:p w14:paraId="144EBD42" w14:textId="77777777" w:rsidR="00FE7856" w:rsidRPr="001116C5" w:rsidRDefault="00FE7856" w:rsidP="00FE7856">
      <w:pPr>
        <w:spacing w:line="360" w:lineRule="auto"/>
        <w:jc w:val="center"/>
        <w:rPr>
          <w:rFonts w:asciiTheme="minorHAnsi" w:hAnsiTheme="minorHAnsi" w:cstheme="minorHAnsi"/>
          <w:b/>
          <w:szCs w:val="22"/>
          <w:lang w:val="hr-HR"/>
        </w:rPr>
      </w:pPr>
    </w:p>
    <w:p w14:paraId="2BBF4147" w14:textId="77777777" w:rsidR="00FE7856" w:rsidRPr="001116C5" w:rsidRDefault="00FE7856" w:rsidP="00FE7856">
      <w:pPr>
        <w:spacing w:line="360" w:lineRule="auto"/>
        <w:jc w:val="center"/>
        <w:rPr>
          <w:rFonts w:asciiTheme="minorHAnsi" w:hAnsiTheme="minorHAnsi" w:cstheme="minorHAnsi"/>
          <w:b/>
          <w:szCs w:val="22"/>
          <w:lang w:val="hr-HR"/>
        </w:rPr>
      </w:pPr>
    </w:p>
    <w:p w14:paraId="63381263" w14:textId="77777777" w:rsidR="00FE7856" w:rsidRPr="001116C5" w:rsidRDefault="00FE7856" w:rsidP="00FE7856">
      <w:pPr>
        <w:jc w:val="center"/>
        <w:rPr>
          <w:rFonts w:asciiTheme="minorHAnsi" w:hAnsiTheme="minorHAnsi" w:cstheme="minorHAnsi"/>
          <w:szCs w:val="22"/>
          <w:lang w:val="hr-HR"/>
        </w:rPr>
      </w:pPr>
    </w:p>
    <w:p w14:paraId="792658BF" w14:textId="77777777" w:rsidR="00FE7856" w:rsidRPr="001116C5" w:rsidRDefault="00FE7856" w:rsidP="00FE7856">
      <w:pPr>
        <w:spacing w:line="360" w:lineRule="auto"/>
        <w:ind w:left="720"/>
        <w:jc w:val="center"/>
        <w:rPr>
          <w:rFonts w:asciiTheme="minorHAnsi" w:hAnsiTheme="minorHAnsi" w:cstheme="minorHAnsi"/>
          <w:b/>
          <w:szCs w:val="22"/>
          <w:lang w:val="hr-HR"/>
        </w:rPr>
      </w:pPr>
    </w:p>
    <w:p w14:paraId="4F279018" w14:textId="77777777" w:rsidR="00FE7856" w:rsidRPr="001116C5" w:rsidRDefault="00FE7856" w:rsidP="00FE7856">
      <w:pPr>
        <w:spacing w:line="360" w:lineRule="auto"/>
        <w:ind w:left="720"/>
        <w:jc w:val="center"/>
        <w:rPr>
          <w:rFonts w:asciiTheme="minorHAnsi" w:hAnsiTheme="minorHAnsi" w:cstheme="minorHAnsi"/>
          <w:b/>
          <w:szCs w:val="22"/>
          <w:lang w:val="hr-HR"/>
        </w:rPr>
      </w:pPr>
    </w:p>
    <w:p w14:paraId="3BCFDA89" w14:textId="77777777" w:rsidR="00FE7856" w:rsidRPr="001116C5" w:rsidRDefault="00FE7856" w:rsidP="00FE7856">
      <w:pPr>
        <w:jc w:val="center"/>
        <w:rPr>
          <w:rFonts w:asciiTheme="minorHAnsi" w:hAnsiTheme="minorHAnsi" w:cstheme="minorHAnsi"/>
          <w:szCs w:val="22"/>
          <w:lang w:val="hr-HR"/>
        </w:rPr>
      </w:pPr>
    </w:p>
    <w:p w14:paraId="2FFF903D" w14:textId="77777777" w:rsidR="00FE7856" w:rsidRPr="001116C5" w:rsidRDefault="00FE7856" w:rsidP="00FE7856">
      <w:pPr>
        <w:jc w:val="center"/>
        <w:rPr>
          <w:rFonts w:asciiTheme="minorHAnsi" w:hAnsiTheme="minorHAnsi" w:cstheme="minorHAnsi"/>
          <w:szCs w:val="22"/>
          <w:lang w:val="hr-HR"/>
        </w:rPr>
      </w:pPr>
    </w:p>
    <w:p w14:paraId="7A4D3F29" w14:textId="77777777" w:rsidR="00FE7856" w:rsidRPr="001116C5" w:rsidRDefault="00FE7856" w:rsidP="00FE7856">
      <w:pPr>
        <w:rPr>
          <w:rFonts w:asciiTheme="minorHAnsi" w:hAnsiTheme="minorHAnsi" w:cstheme="minorHAnsi"/>
          <w:szCs w:val="22"/>
          <w:lang w:val="hr-HR"/>
        </w:rPr>
      </w:pPr>
    </w:p>
    <w:p w14:paraId="007D0148" w14:textId="77777777" w:rsidR="00FE7856" w:rsidRPr="001116C5" w:rsidRDefault="00FE7856" w:rsidP="00FE7856">
      <w:pPr>
        <w:rPr>
          <w:rFonts w:asciiTheme="minorHAnsi" w:hAnsiTheme="minorHAnsi" w:cstheme="minorHAnsi"/>
          <w:szCs w:val="22"/>
          <w:lang w:val="hr-HR"/>
        </w:rPr>
      </w:pPr>
    </w:p>
    <w:p w14:paraId="56A6E485" w14:textId="77777777" w:rsidR="00FE7856" w:rsidRPr="001116C5" w:rsidRDefault="00FE7856" w:rsidP="00FE7856">
      <w:pPr>
        <w:rPr>
          <w:rFonts w:asciiTheme="minorHAnsi" w:hAnsiTheme="minorHAnsi" w:cstheme="minorHAnsi"/>
          <w:szCs w:val="22"/>
          <w:lang w:val="hr-HR"/>
        </w:rPr>
      </w:pPr>
    </w:p>
    <w:p w14:paraId="545EB377" w14:textId="63AD6ED4" w:rsidR="00AC306A" w:rsidRPr="001116C5" w:rsidRDefault="00AC306A" w:rsidP="00AC306A">
      <w:pPr>
        <w:jc w:val="left"/>
        <w:rPr>
          <w:rFonts w:asciiTheme="minorHAnsi" w:hAnsiTheme="minorHAnsi" w:cstheme="minorHAnsi"/>
          <w:szCs w:val="22"/>
          <w:lang w:val="hr-HR"/>
        </w:rPr>
      </w:pPr>
    </w:p>
    <w:p w14:paraId="0F81A7F7" w14:textId="7C156640" w:rsidR="00AC306A" w:rsidRPr="001116C5" w:rsidRDefault="00AC306A" w:rsidP="00AC306A">
      <w:pPr>
        <w:jc w:val="left"/>
        <w:rPr>
          <w:rFonts w:asciiTheme="minorHAnsi" w:hAnsiTheme="minorHAnsi" w:cstheme="minorHAnsi"/>
          <w:szCs w:val="22"/>
          <w:lang w:val="hr-HR"/>
        </w:rPr>
      </w:pPr>
    </w:p>
    <w:p w14:paraId="5C0095F1" w14:textId="77777777" w:rsidR="00AC306A" w:rsidRPr="001116C5" w:rsidRDefault="00AC306A" w:rsidP="00AC306A">
      <w:pPr>
        <w:jc w:val="left"/>
        <w:rPr>
          <w:rFonts w:asciiTheme="minorHAnsi" w:hAnsiTheme="minorHAnsi" w:cstheme="minorHAnsi"/>
          <w:szCs w:val="22"/>
          <w:lang w:val="hr-HR"/>
        </w:rPr>
      </w:pPr>
    </w:p>
    <w:p w14:paraId="22801986" w14:textId="77777777" w:rsidR="00FE7856" w:rsidRPr="001116C5" w:rsidRDefault="00FE7856">
      <w:pPr>
        <w:jc w:val="left"/>
        <w:rPr>
          <w:rFonts w:asciiTheme="minorHAnsi" w:hAnsiTheme="minorHAnsi" w:cstheme="minorHAnsi"/>
          <w:b/>
          <w:szCs w:val="22"/>
          <w:lang w:val="hr-HR"/>
        </w:rPr>
      </w:pPr>
      <w:r w:rsidRPr="001116C5">
        <w:rPr>
          <w:rFonts w:asciiTheme="minorHAnsi" w:hAnsiTheme="minorHAnsi" w:cstheme="minorHAnsi"/>
          <w:b/>
          <w:szCs w:val="22"/>
          <w:lang w:val="hr-HR"/>
        </w:rPr>
        <w:br w:type="page"/>
      </w:r>
    </w:p>
    <w:p w14:paraId="642B65B4" w14:textId="5F4CDB26" w:rsidR="00C96BE6" w:rsidRPr="001116C5" w:rsidRDefault="00C96BE6" w:rsidP="00C96BE6">
      <w:pPr>
        <w:numPr>
          <w:ilvl w:val="0"/>
          <w:numId w:val="30"/>
        </w:numPr>
        <w:spacing w:line="360" w:lineRule="auto"/>
        <w:ind w:hanging="720"/>
        <w:rPr>
          <w:rFonts w:asciiTheme="minorHAnsi" w:hAnsiTheme="minorHAnsi" w:cstheme="minorHAnsi"/>
          <w:b/>
          <w:szCs w:val="22"/>
          <w:lang w:val="hr-HR"/>
        </w:rPr>
      </w:pPr>
      <w:r w:rsidRPr="001116C5">
        <w:rPr>
          <w:rFonts w:asciiTheme="minorHAnsi" w:hAnsiTheme="minorHAnsi" w:cstheme="minorHAnsi"/>
          <w:b/>
          <w:szCs w:val="22"/>
          <w:lang w:val="hr-HR"/>
        </w:rPr>
        <w:lastRenderedPageBreak/>
        <w:t>OPĆI PODACI</w:t>
      </w:r>
    </w:p>
    <w:p w14:paraId="6FE995C3" w14:textId="77777777" w:rsidR="00C96BE6" w:rsidRPr="001116C5" w:rsidRDefault="00C96BE6" w:rsidP="00C96BE6">
      <w:pPr>
        <w:pStyle w:val="BodyText2"/>
        <w:rPr>
          <w:rFonts w:asciiTheme="minorHAnsi" w:hAnsiTheme="minorHAnsi" w:cstheme="minorHAnsi"/>
          <w:b/>
          <w:szCs w:val="22"/>
          <w:lang w:val="hr-HR"/>
        </w:rPr>
      </w:pPr>
    </w:p>
    <w:p w14:paraId="6F233ED7"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Centar je ustanova koja obavlja djelatnost u vezi s provođenjem dijela programa Mediteranskog akcijskog plana Programa Ujedinjenih naroda za okoliš, a u vezi s obvezama iz Konvencije o zaštiti morskog okoliša i obalnog područja Sredozemlja (u daljnjem tekstu: Barcelonska konvencija).  </w:t>
      </w:r>
    </w:p>
    <w:p w14:paraId="362EB89D" w14:textId="77777777" w:rsidR="00C96BE6" w:rsidRPr="001116C5" w:rsidRDefault="00C96BE6" w:rsidP="00C96BE6">
      <w:pPr>
        <w:spacing w:line="360" w:lineRule="auto"/>
        <w:ind w:left="720"/>
        <w:rPr>
          <w:rFonts w:asciiTheme="minorHAnsi" w:hAnsiTheme="minorHAnsi" w:cstheme="minorHAnsi"/>
          <w:szCs w:val="22"/>
          <w:lang w:val="hr-HR"/>
        </w:rPr>
      </w:pPr>
    </w:p>
    <w:p w14:paraId="396D3847"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Mediteranski akcijski plan (MAP) osnovan je u okviru Programa Ujedinjenih naroda za okoliš (The United Nations Environment Programme-UNEP), u daljnjem tekstu UNEP.</w:t>
      </w:r>
    </w:p>
    <w:p w14:paraId="2E14BC15"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MAP je osnovan 1975. godine, kao prvi u nizu programa regionalnih mora, s ciljem osiguranja kvalitetnijeg života stanovnicima zemalja koje okružuju Sredozemno more, te uspostavljanja i osnaživanja međusobne suradnje i usuglašavanja strategije upravljanja zajedničkim prirodnim bogatstvima. Također u njegovom fokusu su zaštita okoliša, promicanje modela održivog upravljanja, kao i harmoniziranje odnosa među mediteranskim zemljama. </w:t>
      </w:r>
    </w:p>
    <w:p w14:paraId="6C80459F"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1976. godine, 16 zemalja Sredozemlja i Europska zajednica potpisale su Konvenciju za zaštitu Sredozemnog mora, tzv. Barcelonsku konvenciju, koja je 1995. godine dopunjena i izmijenjena u Konvenciju o zaštiti morskog okoliša i obalnog područja Sredozemlja. Barcelonska konvencija predstavlja pravni okvir za rad MAP-a, a do danas je upotpunjena sa sedam specifičnih protokola. Konvencija broji 22 ugovorne strane: Albanija, Alžir, Bosna i Hercegovina, Cipar, Crna Gora, Egipat, Europska zajednica, Francuska, Grčka, Hrvatska, Italija, Izrael, Libanon, Libija, Malta, Maroko, Monako, Sirija, Slovenija, Španjolska, Tunis i Turska. </w:t>
      </w:r>
    </w:p>
    <w:p w14:paraId="0FFBD65B"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Zemlje članice odlučuju o strategiji MAP-a, njegovom financiranju i programima na sastancima Ugovornih strana Barcelonske konvencije koji se održavaju svake dvije godine. U svakoj zemlji djeluje po jedna ili više osoba zaduženih za koordinaciju aktivnosti MAP-a u svojoj zemlji (National Focal Point - NFP). </w:t>
      </w:r>
    </w:p>
    <w:p w14:paraId="4B5B229F" w14:textId="77777777" w:rsidR="00C96BE6" w:rsidRPr="001116C5" w:rsidRDefault="00C96BE6" w:rsidP="00C96BE6">
      <w:pPr>
        <w:spacing w:line="360" w:lineRule="auto"/>
        <w:rPr>
          <w:rFonts w:asciiTheme="minorHAnsi" w:hAnsiTheme="minorHAnsi" w:cstheme="minorHAnsi"/>
          <w:szCs w:val="22"/>
          <w:lang w:val="hr-HR"/>
        </w:rPr>
      </w:pPr>
    </w:p>
    <w:p w14:paraId="024C0522"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Centar obavlja stručne, organizacijske i tehničke poslove u okviru provedbe programa Mediteranskog akcijskog plana u područjima koje su odredile Ugovorne strane Barcelonske konvencije.  </w:t>
      </w:r>
    </w:p>
    <w:p w14:paraId="2FA8DDF4" w14:textId="77777777" w:rsidR="001116C5" w:rsidRDefault="001116C5" w:rsidP="00C96BE6">
      <w:pPr>
        <w:spacing w:line="360" w:lineRule="auto"/>
        <w:rPr>
          <w:rFonts w:asciiTheme="minorHAnsi" w:hAnsiTheme="minorHAnsi" w:cstheme="minorHAnsi"/>
          <w:szCs w:val="22"/>
          <w:lang w:val="hr-HR"/>
        </w:rPr>
      </w:pPr>
    </w:p>
    <w:p w14:paraId="3BF59066" w14:textId="1A5E5328"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lastRenderedPageBreak/>
        <w:t xml:space="preserve">Centar ima svojstvo pravne osobe i upisan je u Registar Trgovačkog suda pod matičnim brojem subjekta (MBS): 060014933 i osobnim identifikacijskim brojem (OIB): 27788012253. Sjedište Centra je u Splitu, Kraj sv. Ivana 11.  </w:t>
      </w:r>
    </w:p>
    <w:p w14:paraId="56B171EB" w14:textId="77777777" w:rsidR="00C96BE6" w:rsidRPr="001116C5" w:rsidRDefault="00C96BE6" w:rsidP="00C96BE6">
      <w:pPr>
        <w:spacing w:line="360" w:lineRule="auto"/>
        <w:rPr>
          <w:rFonts w:asciiTheme="minorHAnsi" w:hAnsiTheme="minorHAnsi" w:cstheme="minorHAnsi"/>
          <w:szCs w:val="22"/>
          <w:lang w:val="hr-HR"/>
        </w:rPr>
      </w:pPr>
    </w:p>
    <w:p w14:paraId="706C2E8B"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Osnivač Centra je Republika Hrvatska pa prava i dužnosti osnivača Centra obavlja Vlada Republike Hrvatske.</w:t>
      </w:r>
    </w:p>
    <w:p w14:paraId="0142731A" w14:textId="77777777" w:rsidR="00C96BE6" w:rsidRPr="001116C5" w:rsidRDefault="00C96BE6" w:rsidP="00C96BE6">
      <w:pPr>
        <w:spacing w:line="360" w:lineRule="auto"/>
        <w:rPr>
          <w:rFonts w:asciiTheme="minorHAnsi" w:hAnsiTheme="minorHAnsi" w:cstheme="minorHAnsi"/>
          <w:szCs w:val="22"/>
          <w:lang w:val="hr-HR"/>
        </w:rPr>
      </w:pPr>
    </w:p>
    <w:p w14:paraId="6D464F6F"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Prava i obveze Centra u vezi s provođenjem odobrenog mu dijela programa Mediteranskog akcijskog plana određuju se ugovorom između osnivača Centra i Programa UNEP-a.</w:t>
      </w:r>
    </w:p>
    <w:p w14:paraId="1868920B"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Centar obavlja svoju djelatnost, posluje i sudjeluje u pravnom prometu pod dvojezičnim nazivom. Naziv Centra na hrvatskom jeziku je Centar za regionalne aktivnosti Programa prioritetnih akcija, a na engleskom jeziku Priority Actions Programme Regional Activity Centre.  </w:t>
      </w:r>
    </w:p>
    <w:p w14:paraId="7EB766EA"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Skraćeni naziv Centra na hrvatskom jeziku je CRA/PPA, a na engleskom jeziku je PAP/RAC.   </w:t>
      </w:r>
    </w:p>
    <w:p w14:paraId="5CF424AE" w14:textId="77777777" w:rsidR="00C96BE6" w:rsidRPr="001116C5" w:rsidRDefault="00C96BE6" w:rsidP="00C96BE6">
      <w:pPr>
        <w:spacing w:line="360" w:lineRule="auto"/>
        <w:ind w:left="720"/>
        <w:rPr>
          <w:rFonts w:asciiTheme="minorHAnsi" w:hAnsiTheme="minorHAnsi" w:cstheme="minorHAnsi"/>
          <w:szCs w:val="22"/>
          <w:lang w:val="hr-HR"/>
        </w:rPr>
      </w:pPr>
    </w:p>
    <w:p w14:paraId="1D3002DA"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Djelatnost Centra obuhvaća stručne, organizacijske i tehničke poslove koji se odnose na:  </w:t>
      </w:r>
    </w:p>
    <w:p w14:paraId="55EA1E4A" w14:textId="77777777" w:rsidR="00C96BE6" w:rsidRPr="001116C5" w:rsidRDefault="00C96BE6" w:rsidP="00C96BE6">
      <w:pPr>
        <w:numPr>
          <w:ilvl w:val="0"/>
          <w:numId w:val="33"/>
        </w:numPr>
        <w:spacing w:line="360" w:lineRule="auto"/>
        <w:ind w:left="567" w:hanging="567"/>
        <w:rPr>
          <w:rFonts w:asciiTheme="minorHAnsi" w:hAnsiTheme="minorHAnsi" w:cstheme="minorHAnsi"/>
          <w:szCs w:val="22"/>
          <w:lang w:val="hr-HR"/>
        </w:rPr>
      </w:pPr>
      <w:r w:rsidRPr="001116C5">
        <w:rPr>
          <w:rFonts w:asciiTheme="minorHAnsi" w:hAnsiTheme="minorHAnsi" w:cstheme="minorHAnsi"/>
          <w:szCs w:val="22"/>
          <w:lang w:val="hr-HR"/>
        </w:rPr>
        <w:t xml:space="preserve">provedbu zaključaka i preporuka Ugovornih strana Barcelonske konvencije, iz programa rada Centra, koje financira UNEP putem Mediteranskog namjenskog fonda (u daljnjem tekstu: Fond),  </w:t>
      </w:r>
    </w:p>
    <w:p w14:paraId="1198E676" w14:textId="77777777" w:rsidR="00C96BE6" w:rsidRPr="001116C5" w:rsidRDefault="00C96BE6" w:rsidP="00C96BE6">
      <w:pPr>
        <w:numPr>
          <w:ilvl w:val="0"/>
          <w:numId w:val="33"/>
        </w:numPr>
        <w:spacing w:line="360" w:lineRule="auto"/>
        <w:ind w:left="567" w:hanging="567"/>
        <w:rPr>
          <w:rFonts w:asciiTheme="minorHAnsi" w:hAnsiTheme="minorHAnsi" w:cstheme="minorHAnsi"/>
          <w:szCs w:val="22"/>
          <w:lang w:val="hr-HR"/>
        </w:rPr>
      </w:pPr>
      <w:r w:rsidRPr="001116C5">
        <w:rPr>
          <w:rFonts w:asciiTheme="minorHAnsi" w:hAnsiTheme="minorHAnsi" w:cstheme="minorHAnsi"/>
          <w:szCs w:val="22"/>
          <w:lang w:val="hr-HR"/>
        </w:rPr>
        <w:t xml:space="preserve">provedbu aktivnosti u okviru procesa upravljanja obalnim područjima, a posebno provedbe Protokola Barcelonske konvencije o integralnom upravljanju obalnim područjima Sredozemlja, </w:t>
      </w:r>
    </w:p>
    <w:p w14:paraId="31CDEDB9" w14:textId="77777777" w:rsidR="00C96BE6" w:rsidRPr="001116C5" w:rsidRDefault="00C96BE6" w:rsidP="00C96BE6">
      <w:pPr>
        <w:numPr>
          <w:ilvl w:val="0"/>
          <w:numId w:val="33"/>
        </w:numPr>
        <w:spacing w:line="360" w:lineRule="auto"/>
        <w:ind w:left="567" w:hanging="567"/>
        <w:rPr>
          <w:rFonts w:asciiTheme="minorHAnsi" w:hAnsiTheme="minorHAnsi" w:cstheme="minorHAnsi"/>
          <w:szCs w:val="22"/>
          <w:lang w:val="hr-HR"/>
        </w:rPr>
      </w:pPr>
      <w:r w:rsidRPr="001116C5">
        <w:rPr>
          <w:rFonts w:asciiTheme="minorHAnsi" w:hAnsiTheme="minorHAnsi" w:cstheme="minorHAnsi"/>
          <w:szCs w:val="22"/>
          <w:lang w:val="hr-HR"/>
        </w:rPr>
        <w:t xml:space="preserve">provedbu projekata iz programa upravljanja obalnim područjima koje obuhvaća neposrednu suradnju s državnim tijelima, institucijama i stručnjacima Ugovornih strana Barcelonske konvencije,  </w:t>
      </w:r>
    </w:p>
    <w:p w14:paraId="4425962B" w14:textId="77777777" w:rsidR="00C96BE6" w:rsidRPr="001116C5" w:rsidRDefault="00C96BE6" w:rsidP="00C96BE6">
      <w:pPr>
        <w:numPr>
          <w:ilvl w:val="0"/>
          <w:numId w:val="33"/>
        </w:numPr>
        <w:spacing w:line="360" w:lineRule="auto"/>
        <w:ind w:left="567" w:hanging="567"/>
        <w:rPr>
          <w:rFonts w:asciiTheme="minorHAnsi" w:hAnsiTheme="minorHAnsi" w:cstheme="minorHAnsi"/>
          <w:szCs w:val="22"/>
          <w:lang w:val="hr-HR"/>
        </w:rPr>
      </w:pPr>
      <w:r w:rsidRPr="001116C5">
        <w:rPr>
          <w:rFonts w:asciiTheme="minorHAnsi" w:hAnsiTheme="minorHAnsi" w:cstheme="minorHAnsi"/>
          <w:szCs w:val="22"/>
          <w:lang w:val="hr-HR"/>
        </w:rPr>
        <w:t xml:space="preserve">organizaciju međunarodnih konferencija, simpozija, seminara, znanstvenih radionica i sastanaka o zaštiti okoliša i upravljanju obalnim područjima,  </w:t>
      </w:r>
    </w:p>
    <w:p w14:paraId="70FEBFCB" w14:textId="77777777" w:rsidR="00C96BE6" w:rsidRPr="001116C5" w:rsidRDefault="00C96BE6" w:rsidP="00C96BE6">
      <w:pPr>
        <w:numPr>
          <w:ilvl w:val="0"/>
          <w:numId w:val="33"/>
        </w:numPr>
        <w:spacing w:line="360" w:lineRule="auto"/>
        <w:ind w:left="567" w:hanging="567"/>
        <w:rPr>
          <w:rFonts w:asciiTheme="minorHAnsi" w:hAnsiTheme="minorHAnsi" w:cstheme="minorHAnsi"/>
          <w:szCs w:val="22"/>
          <w:lang w:val="hr-HR"/>
        </w:rPr>
      </w:pPr>
      <w:r w:rsidRPr="001116C5">
        <w:rPr>
          <w:rFonts w:asciiTheme="minorHAnsi" w:hAnsiTheme="minorHAnsi" w:cstheme="minorHAnsi"/>
          <w:szCs w:val="22"/>
          <w:lang w:val="hr-HR"/>
        </w:rPr>
        <w:t xml:space="preserve">suradnju s drugim stručnim organizacijama Ujedinjenih naroda te drugim međunarodnim stručnim organizacijama, institucijama i stručnjacima u vezi s provedbom programa upravljanja obalnim područjima i provedbom projekata zaštite okoliša,  </w:t>
      </w:r>
    </w:p>
    <w:p w14:paraId="7810B638" w14:textId="77777777" w:rsidR="00C96BE6" w:rsidRPr="001116C5" w:rsidRDefault="00C96BE6" w:rsidP="00C96BE6">
      <w:pPr>
        <w:numPr>
          <w:ilvl w:val="0"/>
          <w:numId w:val="33"/>
        </w:numPr>
        <w:spacing w:line="360" w:lineRule="auto"/>
        <w:ind w:left="567" w:hanging="567"/>
        <w:rPr>
          <w:rFonts w:asciiTheme="minorHAnsi" w:hAnsiTheme="minorHAnsi" w:cstheme="minorHAnsi"/>
          <w:szCs w:val="22"/>
          <w:lang w:val="hr-HR"/>
        </w:rPr>
      </w:pPr>
      <w:r w:rsidRPr="001116C5">
        <w:rPr>
          <w:rFonts w:asciiTheme="minorHAnsi" w:hAnsiTheme="minorHAnsi" w:cstheme="minorHAnsi"/>
          <w:szCs w:val="22"/>
          <w:lang w:val="hr-HR"/>
        </w:rPr>
        <w:t xml:space="preserve">suradnju sa stručnim organizacijama, institucijama i državnim tijelima mediteranskih zemalja u pružanju stručne i druge pomoći u zaštiti Sredozemnog mora od onečišćavanja,  </w:t>
      </w:r>
    </w:p>
    <w:p w14:paraId="342B7CB4" w14:textId="77777777" w:rsidR="00C96BE6" w:rsidRPr="001116C5" w:rsidRDefault="00C96BE6" w:rsidP="00C96BE6">
      <w:pPr>
        <w:numPr>
          <w:ilvl w:val="0"/>
          <w:numId w:val="33"/>
        </w:numPr>
        <w:spacing w:line="360" w:lineRule="auto"/>
        <w:ind w:left="567" w:hanging="567"/>
        <w:rPr>
          <w:rFonts w:asciiTheme="minorHAnsi" w:hAnsiTheme="minorHAnsi" w:cstheme="minorHAnsi"/>
          <w:szCs w:val="22"/>
          <w:lang w:val="hr-HR"/>
        </w:rPr>
      </w:pPr>
      <w:r w:rsidRPr="001116C5">
        <w:rPr>
          <w:rFonts w:asciiTheme="minorHAnsi" w:hAnsiTheme="minorHAnsi" w:cstheme="minorHAnsi"/>
          <w:szCs w:val="22"/>
          <w:lang w:val="hr-HR"/>
        </w:rPr>
        <w:lastRenderedPageBreak/>
        <w:t xml:space="preserve">stručno osposobljavanje domaćih i međunarodnih stručnjaka u provedbi programa zaštite okoliša, planiranja i upravljanja obalnim područjima,  </w:t>
      </w:r>
    </w:p>
    <w:p w14:paraId="035BD0B3" w14:textId="77777777" w:rsidR="00C96BE6" w:rsidRPr="001116C5" w:rsidRDefault="00C96BE6" w:rsidP="00C96BE6">
      <w:pPr>
        <w:numPr>
          <w:ilvl w:val="0"/>
          <w:numId w:val="33"/>
        </w:numPr>
        <w:spacing w:line="360" w:lineRule="auto"/>
        <w:ind w:left="567" w:hanging="567"/>
        <w:rPr>
          <w:rFonts w:asciiTheme="minorHAnsi" w:hAnsiTheme="minorHAnsi" w:cstheme="minorHAnsi"/>
          <w:szCs w:val="22"/>
          <w:lang w:val="hr-HR"/>
        </w:rPr>
      </w:pPr>
      <w:r w:rsidRPr="001116C5">
        <w:rPr>
          <w:rFonts w:asciiTheme="minorHAnsi" w:hAnsiTheme="minorHAnsi" w:cstheme="minorHAnsi"/>
          <w:szCs w:val="22"/>
          <w:lang w:val="hr-HR"/>
        </w:rPr>
        <w:t xml:space="preserve">prijenos međunarodnih iskustava i znanja institucijama u Republici Hrvatskoj iz područja djelatnosti Centra, a koja se odnose na izradu prijedloga projekata upravljanja obalnim područjima.  </w:t>
      </w:r>
    </w:p>
    <w:p w14:paraId="74620531" w14:textId="77777777" w:rsidR="00C96BE6" w:rsidRPr="001116C5" w:rsidRDefault="00C96BE6" w:rsidP="00C96BE6">
      <w:pPr>
        <w:spacing w:line="360" w:lineRule="auto"/>
        <w:ind w:left="720"/>
        <w:rPr>
          <w:rFonts w:asciiTheme="minorHAnsi" w:hAnsiTheme="minorHAnsi" w:cstheme="minorHAnsi"/>
          <w:szCs w:val="22"/>
          <w:lang w:val="hr-HR"/>
        </w:rPr>
      </w:pPr>
    </w:p>
    <w:p w14:paraId="6F6E2268"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U okviru svoje djelatnosti Centar obavlja i stručne poslove upravljanja obalnim područjima i zaštitom okoliša za naručitelja uz naknadu, ako obavljanje tih poslova ne ometa obavljanje redovnih poslova.  </w:t>
      </w:r>
    </w:p>
    <w:p w14:paraId="6F2AE87D" w14:textId="77777777" w:rsidR="00C96BE6" w:rsidRPr="001116C5" w:rsidRDefault="00C96BE6" w:rsidP="00C96BE6">
      <w:pPr>
        <w:spacing w:line="360" w:lineRule="auto"/>
        <w:ind w:left="720"/>
        <w:rPr>
          <w:rFonts w:asciiTheme="minorHAnsi" w:hAnsiTheme="minorHAnsi" w:cstheme="minorHAnsi"/>
          <w:szCs w:val="22"/>
          <w:lang w:val="hr-HR"/>
        </w:rPr>
      </w:pPr>
    </w:p>
    <w:p w14:paraId="5C25F53A"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Djelatnost Centra ostvaruje se na osnovi plana rada definiranog projektnim dokumentima Programa prioritetnih akcija Mediteranskog akcijskog plana. Ostvarivanje programa, a s tim u vezi i djelatnost Centra, provodi se sukladno zakonima Republike Hrvatske, propisima donesenim na temelju istih, Statuta i ugovora između osnivača Centra i UNEP-a o Centru.  </w:t>
      </w:r>
    </w:p>
    <w:p w14:paraId="373D889D"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Djelatnost Centra ne obavlja se radi stjecanja dobiti.</w:t>
      </w:r>
    </w:p>
    <w:p w14:paraId="22D942B0" w14:textId="77777777" w:rsidR="00C96BE6" w:rsidRPr="001116C5" w:rsidRDefault="00C96BE6" w:rsidP="00C96BE6">
      <w:pPr>
        <w:spacing w:line="360" w:lineRule="auto"/>
        <w:rPr>
          <w:rFonts w:asciiTheme="minorHAnsi" w:hAnsiTheme="minorHAnsi" w:cstheme="minorHAnsi"/>
          <w:b/>
          <w:szCs w:val="22"/>
          <w:lang w:val="hr-HR"/>
        </w:rPr>
      </w:pPr>
      <w:r w:rsidRPr="001116C5">
        <w:rPr>
          <w:rFonts w:asciiTheme="minorHAnsi" w:hAnsiTheme="minorHAnsi" w:cstheme="minorHAnsi"/>
          <w:b/>
          <w:szCs w:val="22"/>
          <w:lang w:val="hr-HR"/>
        </w:rPr>
        <w:t>Organi Centra su:</w:t>
      </w:r>
    </w:p>
    <w:p w14:paraId="03E017D5" w14:textId="77777777" w:rsidR="00C96BE6" w:rsidRPr="001116C5" w:rsidRDefault="00C96BE6" w:rsidP="00C96BE6">
      <w:pPr>
        <w:numPr>
          <w:ilvl w:val="0"/>
          <w:numId w:val="29"/>
        </w:num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Upravno vijeće</w:t>
      </w:r>
    </w:p>
    <w:p w14:paraId="46FEFB34" w14:textId="77777777" w:rsidR="00C96BE6" w:rsidRPr="001116C5" w:rsidRDefault="00C96BE6" w:rsidP="00C96BE6">
      <w:pPr>
        <w:numPr>
          <w:ilvl w:val="0"/>
          <w:numId w:val="29"/>
        </w:num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Ravnatelj</w:t>
      </w:r>
    </w:p>
    <w:p w14:paraId="3EF7D5E7" w14:textId="77777777" w:rsidR="00C96BE6" w:rsidRPr="001116C5" w:rsidRDefault="00C96BE6" w:rsidP="00C96BE6">
      <w:pPr>
        <w:spacing w:line="360" w:lineRule="auto"/>
        <w:rPr>
          <w:rFonts w:asciiTheme="minorHAnsi" w:hAnsiTheme="minorHAnsi" w:cstheme="minorHAnsi"/>
          <w:szCs w:val="22"/>
          <w:lang w:val="hr-HR"/>
        </w:rPr>
      </w:pPr>
    </w:p>
    <w:p w14:paraId="44D5DADB"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b/>
          <w:szCs w:val="22"/>
          <w:lang w:val="hr-HR"/>
        </w:rPr>
        <w:t>Upravno vijeće</w:t>
      </w:r>
      <w:r w:rsidRPr="001116C5">
        <w:rPr>
          <w:rFonts w:asciiTheme="minorHAnsi" w:hAnsiTheme="minorHAnsi" w:cstheme="minorHAnsi"/>
          <w:szCs w:val="22"/>
          <w:lang w:val="hr-HR"/>
        </w:rPr>
        <w:t xml:space="preserve"> upravlja Centrom.  </w:t>
      </w:r>
    </w:p>
    <w:p w14:paraId="7B78198F" w14:textId="77777777" w:rsidR="00E818F7" w:rsidRPr="001116C5" w:rsidRDefault="00E818F7" w:rsidP="00C96BE6">
      <w:pPr>
        <w:spacing w:line="360" w:lineRule="auto"/>
        <w:rPr>
          <w:rFonts w:asciiTheme="minorHAnsi" w:hAnsiTheme="minorHAnsi" w:cstheme="minorHAnsi"/>
          <w:szCs w:val="22"/>
          <w:lang w:val="hr-HR"/>
        </w:rPr>
      </w:pPr>
    </w:p>
    <w:p w14:paraId="55348C22"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Članove Upravnog vijeća imenuje i razrješava Vlada Republike Hrvatske.  </w:t>
      </w:r>
    </w:p>
    <w:p w14:paraId="5BF0CD11"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Upravno vijeće ima pet članova, od kojih je jedan djelatnik Centra, a ostali su predstavnici Grada Splita, Sveučilišta u Splitu, ministarstva nadležnog za vanjske poslove i ministarstva nadležnog za zaštitu okoliša.  </w:t>
      </w:r>
    </w:p>
    <w:p w14:paraId="3567890E" w14:textId="77777777" w:rsidR="00E818F7" w:rsidRPr="001116C5" w:rsidRDefault="00E818F7" w:rsidP="00C96BE6">
      <w:pPr>
        <w:spacing w:line="360" w:lineRule="auto"/>
        <w:rPr>
          <w:rFonts w:asciiTheme="minorHAnsi" w:hAnsiTheme="minorHAnsi" w:cstheme="minorHAnsi"/>
          <w:szCs w:val="22"/>
          <w:lang w:val="hr-HR"/>
        </w:rPr>
      </w:pPr>
    </w:p>
    <w:p w14:paraId="238F69FD" w14:textId="4CCED253"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Mandat članova Upravnog vijeća traje četiri godine.  </w:t>
      </w:r>
    </w:p>
    <w:p w14:paraId="4FE1D784"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Predsjednika Upravnog vijeća i njegovog zamjenika biraju članovi Upravnog vijeća između sebe.</w:t>
      </w:r>
    </w:p>
    <w:p w14:paraId="2615BD2B" w14:textId="77777777" w:rsidR="00C96BE6" w:rsidRPr="001116C5" w:rsidRDefault="00C96BE6" w:rsidP="00C96BE6">
      <w:pPr>
        <w:spacing w:line="360" w:lineRule="auto"/>
        <w:rPr>
          <w:rFonts w:asciiTheme="minorHAnsi" w:hAnsiTheme="minorHAnsi" w:cstheme="minorHAnsi"/>
          <w:szCs w:val="22"/>
          <w:lang w:val="hr-HR"/>
        </w:rPr>
      </w:pPr>
    </w:p>
    <w:p w14:paraId="56C0144B" w14:textId="77777777" w:rsidR="00E818F7" w:rsidRPr="001116C5" w:rsidRDefault="00E818F7">
      <w:pPr>
        <w:jc w:val="left"/>
        <w:rPr>
          <w:rFonts w:asciiTheme="minorHAnsi" w:hAnsiTheme="minorHAnsi" w:cstheme="minorHAnsi"/>
          <w:szCs w:val="22"/>
          <w:lang w:val="hr-HR"/>
        </w:rPr>
      </w:pPr>
      <w:r w:rsidRPr="001116C5">
        <w:rPr>
          <w:rFonts w:asciiTheme="minorHAnsi" w:hAnsiTheme="minorHAnsi" w:cstheme="minorHAnsi"/>
          <w:szCs w:val="22"/>
          <w:lang w:val="hr-HR"/>
        </w:rPr>
        <w:br w:type="page"/>
      </w:r>
    </w:p>
    <w:p w14:paraId="2B06E8C6" w14:textId="49798A6B"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lastRenderedPageBreak/>
        <w:t>Članovi Upravnog vijeća su:</w:t>
      </w:r>
    </w:p>
    <w:p w14:paraId="16120823" w14:textId="77777777" w:rsidR="00E818F7" w:rsidRPr="001116C5" w:rsidRDefault="00E818F7" w:rsidP="00C96BE6">
      <w:pPr>
        <w:spacing w:line="360" w:lineRule="auto"/>
        <w:rPr>
          <w:rFonts w:asciiTheme="minorHAnsi" w:hAnsiTheme="minorHAnsi" w:cstheme="minorHAnsi"/>
          <w:szCs w:val="22"/>
          <w:lang w:val="hr-HR"/>
        </w:rPr>
      </w:pPr>
    </w:p>
    <w:p w14:paraId="47C61B50" w14:textId="77777777" w:rsidR="00E818F7" w:rsidRPr="001116C5" w:rsidRDefault="00E818F7" w:rsidP="00E818F7">
      <w:pPr>
        <w:spacing w:line="360" w:lineRule="auto"/>
        <w:jc w:val="left"/>
        <w:rPr>
          <w:rFonts w:asciiTheme="minorHAnsi" w:hAnsiTheme="minorHAnsi" w:cstheme="minorHAnsi"/>
          <w:sz w:val="20"/>
          <w:lang w:val="hr-HR"/>
        </w:rPr>
      </w:pPr>
      <w:r w:rsidRPr="001116C5">
        <w:rPr>
          <w:rFonts w:asciiTheme="minorHAnsi" w:hAnsiTheme="minorHAnsi" w:cstheme="minorHAnsi"/>
          <w:b/>
          <w:bCs/>
          <w:szCs w:val="22"/>
          <w:lang w:val="hr-HR"/>
        </w:rPr>
        <w:t>Mario Šiljeg </w:t>
      </w:r>
      <w:r w:rsidRPr="001116C5">
        <w:rPr>
          <w:rFonts w:asciiTheme="minorHAnsi" w:hAnsiTheme="minorHAnsi" w:cstheme="minorHAnsi"/>
          <w:b/>
          <w:bCs/>
          <w:szCs w:val="22"/>
          <w:lang w:val="hr-HR"/>
        </w:rPr>
        <w:br/>
      </w:r>
      <w:r w:rsidRPr="001116C5">
        <w:rPr>
          <w:rFonts w:asciiTheme="minorHAnsi" w:hAnsiTheme="minorHAnsi" w:cstheme="minorHAnsi"/>
          <w:sz w:val="20"/>
          <w:lang w:val="hr-HR"/>
        </w:rPr>
        <w:t>Državni tajnik</w:t>
      </w:r>
    </w:p>
    <w:p w14:paraId="1612B471" w14:textId="77777777" w:rsidR="00E818F7" w:rsidRPr="001116C5" w:rsidRDefault="00E818F7" w:rsidP="00E818F7">
      <w:pPr>
        <w:spacing w:line="360" w:lineRule="auto"/>
        <w:jc w:val="left"/>
        <w:rPr>
          <w:rFonts w:asciiTheme="minorHAnsi" w:hAnsiTheme="minorHAnsi" w:cstheme="minorHAnsi"/>
          <w:sz w:val="20"/>
          <w:lang w:val="hr-HR"/>
        </w:rPr>
      </w:pPr>
      <w:r w:rsidRPr="001116C5">
        <w:rPr>
          <w:rFonts w:asciiTheme="minorHAnsi" w:hAnsiTheme="minorHAnsi" w:cstheme="minorHAnsi"/>
          <w:sz w:val="20"/>
          <w:lang w:val="hr-HR"/>
        </w:rPr>
        <w:t>Ministarstvo gospodarstva i održivoj razvoja</w:t>
      </w:r>
    </w:p>
    <w:p w14:paraId="66A10780" w14:textId="77777777" w:rsidR="00E818F7" w:rsidRPr="001116C5" w:rsidRDefault="00E818F7" w:rsidP="00E818F7">
      <w:pPr>
        <w:spacing w:line="360" w:lineRule="auto"/>
        <w:jc w:val="left"/>
        <w:rPr>
          <w:rFonts w:asciiTheme="minorHAnsi" w:hAnsiTheme="minorHAnsi" w:cstheme="minorHAnsi"/>
          <w:sz w:val="20"/>
          <w:lang w:val="hr-HR"/>
        </w:rPr>
      </w:pPr>
      <w:r w:rsidRPr="001116C5">
        <w:rPr>
          <w:rFonts w:asciiTheme="minorHAnsi" w:hAnsiTheme="minorHAnsi" w:cstheme="minorHAnsi"/>
          <w:sz w:val="20"/>
          <w:lang w:val="hr-HR"/>
        </w:rPr>
        <w:t>Radnička cesta 80</w:t>
      </w:r>
      <w:r w:rsidRPr="001116C5">
        <w:rPr>
          <w:rFonts w:asciiTheme="minorHAnsi" w:hAnsiTheme="minorHAnsi" w:cstheme="minorHAnsi"/>
          <w:sz w:val="20"/>
          <w:lang w:val="hr-HR"/>
        </w:rPr>
        <w:br/>
        <w:t>10 000 Zagreb</w:t>
      </w:r>
    </w:p>
    <w:p w14:paraId="4AA99909" w14:textId="77777777" w:rsidR="00E818F7" w:rsidRPr="001116C5" w:rsidRDefault="00E818F7" w:rsidP="00E818F7">
      <w:pPr>
        <w:tabs>
          <w:tab w:val="left" w:pos="851"/>
        </w:tabs>
        <w:jc w:val="left"/>
        <w:rPr>
          <w:rFonts w:asciiTheme="minorHAnsi" w:hAnsiTheme="minorHAnsi" w:cstheme="minorHAnsi"/>
          <w:szCs w:val="22"/>
          <w:lang w:val="hr-HR"/>
        </w:rPr>
      </w:pPr>
    </w:p>
    <w:p w14:paraId="6760B872" w14:textId="77777777" w:rsidR="00E818F7" w:rsidRPr="001116C5" w:rsidRDefault="00E818F7" w:rsidP="00E818F7">
      <w:pPr>
        <w:spacing w:line="360" w:lineRule="auto"/>
        <w:jc w:val="left"/>
        <w:rPr>
          <w:rFonts w:asciiTheme="minorHAnsi" w:hAnsiTheme="minorHAnsi" w:cstheme="minorHAnsi"/>
          <w:sz w:val="20"/>
          <w:lang w:val="hr-HR"/>
        </w:rPr>
      </w:pPr>
      <w:r w:rsidRPr="001116C5">
        <w:rPr>
          <w:rFonts w:asciiTheme="minorHAnsi" w:hAnsiTheme="minorHAnsi" w:cstheme="minorHAnsi"/>
          <w:b/>
          <w:bCs/>
          <w:szCs w:val="22"/>
          <w:lang w:val="hr-HR"/>
        </w:rPr>
        <w:t>Mirta Mandić</w:t>
      </w:r>
      <w:r w:rsidRPr="001116C5">
        <w:rPr>
          <w:rFonts w:asciiTheme="minorHAnsi" w:hAnsiTheme="minorHAnsi" w:cstheme="minorHAnsi"/>
          <w:b/>
          <w:bCs/>
          <w:szCs w:val="22"/>
          <w:lang w:val="hr-HR"/>
        </w:rPr>
        <w:br/>
      </w:r>
      <w:r w:rsidRPr="001116C5">
        <w:rPr>
          <w:rFonts w:asciiTheme="minorHAnsi" w:hAnsiTheme="minorHAnsi" w:cstheme="minorHAnsi"/>
          <w:sz w:val="20"/>
          <w:lang w:val="hr-HR"/>
        </w:rPr>
        <w:t>Voditeljica službe za Globalna pitanja</w:t>
      </w:r>
    </w:p>
    <w:p w14:paraId="0490E6E0" w14:textId="77777777" w:rsidR="00E818F7" w:rsidRPr="001116C5" w:rsidRDefault="00E818F7" w:rsidP="00E818F7">
      <w:pPr>
        <w:spacing w:line="360" w:lineRule="auto"/>
        <w:jc w:val="left"/>
        <w:rPr>
          <w:rFonts w:asciiTheme="minorHAnsi" w:hAnsiTheme="minorHAnsi" w:cstheme="minorHAnsi"/>
          <w:sz w:val="20"/>
          <w:lang w:val="hr-HR"/>
        </w:rPr>
      </w:pPr>
      <w:r w:rsidRPr="001116C5">
        <w:rPr>
          <w:rFonts w:asciiTheme="minorHAnsi" w:hAnsiTheme="minorHAnsi" w:cstheme="minorHAnsi"/>
          <w:sz w:val="20"/>
          <w:lang w:val="hr-HR"/>
        </w:rPr>
        <w:t>Sektor za Ujedinjene narode i međunarodne organizacije</w:t>
      </w:r>
      <w:r w:rsidRPr="001116C5">
        <w:rPr>
          <w:rFonts w:asciiTheme="minorHAnsi" w:hAnsiTheme="minorHAnsi" w:cstheme="minorHAnsi"/>
          <w:sz w:val="20"/>
          <w:lang w:val="hr-HR"/>
        </w:rPr>
        <w:br/>
        <w:t>Ministarstvo vanjskih i europskih poslova</w:t>
      </w:r>
    </w:p>
    <w:p w14:paraId="45F5E3B6" w14:textId="77777777" w:rsidR="00E818F7" w:rsidRPr="001116C5" w:rsidRDefault="00E818F7" w:rsidP="00E818F7">
      <w:pPr>
        <w:spacing w:line="360" w:lineRule="auto"/>
        <w:jc w:val="left"/>
        <w:rPr>
          <w:rFonts w:asciiTheme="minorHAnsi" w:hAnsiTheme="minorHAnsi" w:cstheme="minorHAnsi"/>
          <w:sz w:val="20"/>
          <w:lang w:val="hr-HR"/>
        </w:rPr>
      </w:pPr>
      <w:r w:rsidRPr="001116C5">
        <w:rPr>
          <w:rFonts w:asciiTheme="minorHAnsi" w:hAnsiTheme="minorHAnsi" w:cstheme="minorHAnsi"/>
          <w:sz w:val="20"/>
          <w:lang w:val="hr-HR"/>
        </w:rPr>
        <w:t>Trg N. Š. Zrinskog 6-7</w:t>
      </w:r>
    </w:p>
    <w:p w14:paraId="052D89C6" w14:textId="77777777" w:rsidR="00E818F7" w:rsidRPr="001116C5" w:rsidRDefault="00E818F7" w:rsidP="00E818F7">
      <w:pPr>
        <w:spacing w:line="360" w:lineRule="auto"/>
        <w:jc w:val="left"/>
        <w:rPr>
          <w:rFonts w:asciiTheme="minorHAnsi" w:hAnsiTheme="minorHAnsi" w:cstheme="minorHAnsi"/>
          <w:sz w:val="20"/>
          <w:lang w:val="hr-HR"/>
        </w:rPr>
      </w:pPr>
      <w:r w:rsidRPr="001116C5">
        <w:rPr>
          <w:rFonts w:asciiTheme="minorHAnsi" w:hAnsiTheme="minorHAnsi" w:cstheme="minorHAnsi"/>
          <w:sz w:val="20"/>
          <w:lang w:val="hr-HR"/>
        </w:rPr>
        <w:t>10000 Zagreb</w:t>
      </w:r>
    </w:p>
    <w:p w14:paraId="3F0B1D70" w14:textId="77777777" w:rsidR="00E818F7" w:rsidRPr="001116C5" w:rsidRDefault="00E818F7" w:rsidP="00E818F7">
      <w:pPr>
        <w:tabs>
          <w:tab w:val="left" w:pos="851"/>
        </w:tabs>
        <w:jc w:val="left"/>
        <w:rPr>
          <w:rFonts w:asciiTheme="minorHAnsi" w:hAnsiTheme="minorHAnsi" w:cstheme="minorHAnsi"/>
          <w:szCs w:val="22"/>
          <w:lang w:val="hr-HR"/>
        </w:rPr>
      </w:pPr>
    </w:p>
    <w:p w14:paraId="2875277B" w14:textId="77777777" w:rsidR="00E818F7" w:rsidRPr="001116C5" w:rsidRDefault="00E818F7" w:rsidP="00E818F7">
      <w:pPr>
        <w:spacing w:line="360" w:lineRule="auto"/>
        <w:jc w:val="left"/>
        <w:rPr>
          <w:rFonts w:asciiTheme="minorHAnsi" w:hAnsiTheme="minorHAnsi" w:cstheme="minorHAnsi"/>
          <w:sz w:val="20"/>
          <w:lang w:val="hr-HR"/>
        </w:rPr>
      </w:pPr>
      <w:r w:rsidRPr="001116C5">
        <w:rPr>
          <w:rFonts w:asciiTheme="minorHAnsi" w:hAnsiTheme="minorHAnsi" w:cstheme="minorHAnsi"/>
          <w:b/>
          <w:bCs/>
          <w:szCs w:val="22"/>
          <w:lang w:val="hr-HR"/>
        </w:rPr>
        <w:t>Daniela Šegvić</w:t>
      </w:r>
      <w:r w:rsidRPr="001116C5">
        <w:rPr>
          <w:rFonts w:asciiTheme="minorHAnsi" w:hAnsiTheme="minorHAnsi" w:cstheme="minorHAnsi"/>
          <w:b/>
          <w:bCs/>
          <w:szCs w:val="22"/>
          <w:lang w:val="hr-HR"/>
        </w:rPr>
        <w:br/>
      </w:r>
      <w:r w:rsidRPr="001116C5">
        <w:rPr>
          <w:rFonts w:asciiTheme="minorHAnsi" w:hAnsiTheme="minorHAnsi" w:cstheme="minorHAnsi"/>
          <w:sz w:val="20"/>
          <w:lang w:val="hr-HR"/>
        </w:rPr>
        <w:t>Voditeljica odsjeka za zaštitu okoliša</w:t>
      </w:r>
      <w:r w:rsidRPr="001116C5">
        <w:rPr>
          <w:rFonts w:asciiTheme="minorHAnsi" w:hAnsiTheme="minorHAnsi" w:cstheme="minorHAnsi"/>
          <w:sz w:val="20"/>
          <w:lang w:val="hr-HR"/>
        </w:rPr>
        <w:br/>
        <w:t>Grad Split</w:t>
      </w:r>
      <w:r w:rsidRPr="001116C5">
        <w:rPr>
          <w:rFonts w:asciiTheme="minorHAnsi" w:hAnsiTheme="minorHAnsi" w:cstheme="minorHAnsi"/>
          <w:sz w:val="20"/>
          <w:lang w:val="hr-HR"/>
        </w:rPr>
        <w:br/>
        <w:t>Obala kneza Branimira 17</w:t>
      </w:r>
    </w:p>
    <w:p w14:paraId="317872B3" w14:textId="77777777" w:rsidR="00E818F7" w:rsidRPr="001116C5" w:rsidRDefault="00E818F7" w:rsidP="00E818F7">
      <w:pPr>
        <w:spacing w:line="360" w:lineRule="auto"/>
        <w:jc w:val="left"/>
        <w:rPr>
          <w:rFonts w:asciiTheme="minorHAnsi" w:hAnsiTheme="minorHAnsi" w:cstheme="minorHAnsi"/>
          <w:sz w:val="20"/>
          <w:lang w:val="hr-HR"/>
        </w:rPr>
      </w:pPr>
      <w:r w:rsidRPr="001116C5">
        <w:rPr>
          <w:rFonts w:asciiTheme="minorHAnsi" w:hAnsiTheme="minorHAnsi" w:cstheme="minorHAnsi"/>
          <w:sz w:val="20"/>
          <w:lang w:val="hr-HR"/>
        </w:rPr>
        <w:t>21000 Split</w:t>
      </w:r>
      <w:r w:rsidRPr="001116C5">
        <w:rPr>
          <w:rFonts w:asciiTheme="minorHAnsi" w:hAnsiTheme="minorHAnsi" w:cstheme="minorHAnsi"/>
          <w:sz w:val="20"/>
          <w:lang w:val="hr-HR"/>
        </w:rPr>
        <w:br/>
      </w:r>
    </w:p>
    <w:p w14:paraId="5A98E73F" w14:textId="77777777" w:rsidR="00E818F7" w:rsidRPr="001116C5" w:rsidRDefault="00E818F7" w:rsidP="00E818F7">
      <w:pPr>
        <w:spacing w:line="360" w:lineRule="auto"/>
        <w:rPr>
          <w:rFonts w:asciiTheme="minorHAnsi" w:hAnsiTheme="minorHAnsi" w:cstheme="minorHAnsi"/>
          <w:b/>
          <w:bCs/>
          <w:szCs w:val="22"/>
          <w:lang w:val="hr-HR"/>
        </w:rPr>
      </w:pPr>
      <w:r w:rsidRPr="001116C5">
        <w:rPr>
          <w:rFonts w:asciiTheme="minorHAnsi" w:hAnsiTheme="minorHAnsi" w:cstheme="minorHAnsi"/>
          <w:b/>
          <w:bCs/>
          <w:szCs w:val="22"/>
          <w:lang w:val="hr-HR"/>
        </w:rPr>
        <w:t xml:space="preserve">Igor Jerković </w:t>
      </w:r>
    </w:p>
    <w:p w14:paraId="36EC3B1F" w14:textId="77777777" w:rsidR="00E818F7" w:rsidRPr="001116C5" w:rsidRDefault="00E818F7" w:rsidP="00E818F7">
      <w:pPr>
        <w:spacing w:line="360" w:lineRule="auto"/>
        <w:rPr>
          <w:rFonts w:asciiTheme="minorHAnsi" w:hAnsiTheme="minorHAnsi" w:cstheme="minorHAnsi"/>
          <w:sz w:val="20"/>
          <w:lang w:val="hr-HR"/>
        </w:rPr>
      </w:pPr>
      <w:r w:rsidRPr="001116C5">
        <w:rPr>
          <w:rFonts w:asciiTheme="minorHAnsi" w:hAnsiTheme="minorHAnsi" w:cstheme="minorHAnsi"/>
          <w:sz w:val="20"/>
          <w:lang w:val="hr-HR"/>
        </w:rPr>
        <w:t xml:space="preserve">Prorektor za znanost i kvalitetu </w:t>
      </w:r>
    </w:p>
    <w:p w14:paraId="1FA4E8EF" w14:textId="77777777" w:rsidR="00E818F7" w:rsidRPr="001116C5" w:rsidRDefault="00E818F7" w:rsidP="00E818F7">
      <w:pPr>
        <w:spacing w:line="360" w:lineRule="auto"/>
        <w:rPr>
          <w:rFonts w:asciiTheme="minorHAnsi" w:hAnsiTheme="minorHAnsi" w:cstheme="minorHAnsi"/>
          <w:sz w:val="20"/>
          <w:lang w:val="hr-HR"/>
        </w:rPr>
      </w:pPr>
      <w:r w:rsidRPr="001116C5">
        <w:rPr>
          <w:rFonts w:asciiTheme="minorHAnsi" w:hAnsiTheme="minorHAnsi" w:cstheme="minorHAnsi"/>
          <w:sz w:val="20"/>
          <w:lang w:val="hr-HR"/>
        </w:rPr>
        <w:t>Sveučilište u Splitu</w:t>
      </w:r>
    </w:p>
    <w:p w14:paraId="1488D60B" w14:textId="77777777" w:rsidR="00E818F7" w:rsidRPr="001116C5" w:rsidRDefault="00E818F7" w:rsidP="00E818F7">
      <w:pPr>
        <w:spacing w:line="360" w:lineRule="auto"/>
        <w:rPr>
          <w:rFonts w:asciiTheme="minorHAnsi" w:hAnsiTheme="minorHAnsi" w:cstheme="minorHAnsi"/>
          <w:sz w:val="20"/>
          <w:lang w:val="hr-HR"/>
        </w:rPr>
      </w:pPr>
      <w:r w:rsidRPr="001116C5">
        <w:rPr>
          <w:rFonts w:asciiTheme="minorHAnsi" w:hAnsiTheme="minorHAnsi" w:cstheme="minorHAnsi"/>
          <w:sz w:val="20"/>
          <w:lang w:val="hr-HR"/>
        </w:rPr>
        <w:t>Ruđera Boškovića 31</w:t>
      </w:r>
    </w:p>
    <w:p w14:paraId="608826D5" w14:textId="77777777" w:rsidR="00E818F7" w:rsidRPr="001116C5" w:rsidRDefault="00E818F7" w:rsidP="00E818F7">
      <w:pPr>
        <w:spacing w:line="360" w:lineRule="auto"/>
        <w:rPr>
          <w:rFonts w:asciiTheme="minorHAnsi" w:hAnsiTheme="minorHAnsi" w:cstheme="minorHAnsi"/>
          <w:sz w:val="20"/>
          <w:lang w:val="hr-HR"/>
        </w:rPr>
      </w:pPr>
      <w:r w:rsidRPr="001116C5">
        <w:rPr>
          <w:rFonts w:asciiTheme="minorHAnsi" w:hAnsiTheme="minorHAnsi" w:cstheme="minorHAnsi"/>
          <w:sz w:val="20"/>
          <w:lang w:val="hr-HR"/>
        </w:rPr>
        <w:t>21 000 Split</w:t>
      </w:r>
    </w:p>
    <w:p w14:paraId="6246941E" w14:textId="77777777" w:rsidR="00E818F7" w:rsidRPr="001116C5" w:rsidRDefault="00E818F7" w:rsidP="00E818F7">
      <w:pPr>
        <w:spacing w:line="360" w:lineRule="auto"/>
        <w:rPr>
          <w:rFonts w:asciiTheme="minorHAnsi" w:hAnsiTheme="minorHAnsi" w:cstheme="minorHAnsi"/>
          <w:szCs w:val="22"/>
          <w:lang w:val="hr-HR"/>
        </w:rPr>
      </w:pPr>
    </w:p>
    <w:p w14:paraId="48AD1B77" w14:textId="77777777" w:rsidR="00E818F7" w:rsidRPr="001116C5" w:rsidRDefault="00E818F7" w:rsidP="00E818F7">
      <w:pPr>
        <w:spacing w:line="360" w:lineRule="auto"/>
        <w:rPr>
          <w:rFonts w:asciiTheme="minorHAnsi" w:hAnsiTheme="minorHAnsi" w:cstheme="minorHAnsi"/>
          <w:b/>
          <w:bCs/>
          <w:szCs w:val="22"/>
          <w:lang w:val="hr-HR"/>
        </w:rPr>
      </w:pPr>
      <w:r w:rsidRPr="001116C5">
        <w:rPr>
          <w:rFonts w:asciiTheme="minorHAnsi" w:hAnsiTheme="minorHAnsi" w:cstheme="minorHAnsi"/>
          <w:b/>
          <w:bCs/>
          <w:szCs w:val="22"/>
          <w:lang w:val="hr-HR"/>
        </w:rPr>
        <w:t>Dina Šilović</w:t>
      </w:r>
    </w:p>
    <w:p w14:paraId="34037288" w14:textId="77777777" w:rsidR="00E818F7" w:rsidRPr="001116C5" w:rsidRDefault="00E818F7" w:rsidP="00E818F7">
      <w:pPr>
        <w:spacing w:line="360" w:lineRule="auto"/>
        <w:rPr>
          <w:rFonts w:asciiTheme="minorHAnsi" w:hAnsiTheme="minorHAnsi" w:cstheme="minorHAnsi"/>
          <w:sz w:val="20"/>
          <w:lang w:val="hr-HR"/>
        </w:rPr>
      </w:pPr>
      <w:r w:rsidRPr="001116C5">
        <w:rPr>
          <w:rFonts w:asciiTheme="minorHAnsi" w:hAnsiTheme="minorHAnsi" w:cstheme="minorHAnsi"/>
          <w:sz w:val="20"/>
          <w:lang w:val="hr-HR"/>
        </w:rPr>
        <w:t>Financijski koordinator</w:t>
      </w:r>
    </w:p>
    <w:p w14:paraId="034D9E22" w14:textId="77777777" w:rsidR="00E818F7" w:rsidRPr="001116C5" w:rsidRDefault="00E818F7" w:rsidP="00E818F7">
      <w:pPr>
        <w:spacing w:line="360" w:lineRule="auto"/>
        <w:rPr>
          <w:rFonts w:asciiTheme="minorHAnsi" w:hAnsiTheme="minorHAnsi" w:cstheme="minorHAnsi"/>
          <w:sz w:val="20"/>
          <w:lang w:val="hr-HR"/>
        </w:rPr>
      </w:pPr>
      <w:r w:rsidRPr="001116C5">
        <w:rPr>
          <w:rFonts w:asciiTheme="minorHAnsi" w:hAnsiTheme="minorHAnsi" w:cstheme="minorHAnsi"/>
          <w:sz w:val="20"/>
          <w:lang w:val="hr-HR"/>
        </w:rPr>
        <w:t>Centar za regionalne aktivnosti Programa prioritetnih akcija</w:t>
      </w:r>
    </w:p>
    <w:p w14:paraId="53B81FD8" w14:textId="77777777" w:rsidR="00E818F7" w:rsidRPr="001116C5" w:rsidRDefault="00E818F7" w:rsidP="00E818F7">
      <w:pPr>
        <w:spacing w:line="360" w:lineRule="auto"/>
        <w:rPr>
          <w:rFonts w:asciiTheme="minorHAnsi" w:hAnsiTheme="minorHAnsi" w:cstheme="minorHAnsi"/>
          <w:sz w:val="20"/>
          <w:lang w:val="hr-HR"/>
        </w:rPr>
      </w:pPr>
      <w:r w:rsidRPr="001116C5">
        <w:rPr>
          <w:rFonts w:asciiTheme="minorHAnsi" w:hAnsiTheme="minorHAnsi" w:cstheme="minorHAnsi"/>
          <w:sz w:val="20"/>
          <w:lang w:val="hr-HR"/>
        </w:rPr>
        <w:t>Kraj Sv. Ivana 11</w:t>
      </w:r>
    </w:p>
    <w:p w14:paraId="59AA82BA" w14:textId="77777777" w:rsidR="00E818F7" w:rsidRPr="001116C5" w:rsidRDefault="00E818F7" w:rsidP="00E818F7">
      <w:pPr>
        <w:spacing w:line="360" w:lineRule="auto"/>
        <w:rPr>
          <w:rFonts w:asciiTheme="minorHAnsi" w:hAnsiTheme="minorHAnsi" w:cstheme="minorHAnsi"/>
          <w:sz w:val="20"/>
          <w:lang w:val="hr-HR"/>
        </w:rPr>
      </w:pPr>
      <w:r w:rsidRPr="001116C5">
        <w:rPr>
          <w:rFonts w:asciiTheme="minorHAnsi" w:hAnsiTheme="minorHAnsi" w:cstheme="minorHAnsi"/>
          <w:sz w:val="20"/>
          <w:lang w:val="hr-HR"/>
        </w:rPr>
        <w:t>21000 Split</w:t>
      </w:r>
    </w:p>
    <w:p w14:paraId="587470BB" w14:textId="77777777" w:rsidR="00C96BE6" w:rsidRPr="001116C5" w:rsidRDefault="00C96BE6" w:rsidP="00C96BE6">
      <w:pPr>
        <w:spacing w:line="360" w:lineRule="auto"/>
        <w:rPr>
          <w:rFonts w:asciiTheme="minorHAnsi" w:hAnsiTheme="minorHAnsi" w:cstheme="minorHAnsi"/>
          <w:b/>
          <w:szCs w:val="22"/>
          <w:lang w:val="hr-HR"/>
        </w:rPr>
      </w:pPr>
      <w:r w:rsidRPr="001116C5">
        <w:rPr>
          <w:rFonts w:asciiTheme="minorHAnsi" w:hAnsiTheme="minorHAnsi" w:cstheme="minorHAnsi"/>
          <w:b/>
          <w:szCs w:val="22"/>
          <w:lang w:val="hr-HR"/>
        </w:rPr>
        <w:lastRenderedPageBreak/>
        <w:t>Ravnatelj</w:t>
      </w:r>
    </w:p>
    <w:p w14:paraId="0615A7C1" w14:textId="77777777" w:rsidR="00C96BE6" w:rsidRPr="001116C5" w:rsidRDefault="00C96BE6" w:rsidP="00C96BE6">
      <w:pPr>
        <w:pStyle w:val="NoSpacing"/>
        <w:rPr>
          <w:rFonts w:asciiTheme="minorHAnsi" w:hAnsiTheme="minorHAnsi" w:cstheme="minorHAnsi"/>
          <w:sz w:val="22"/>
          <w:szCs w:val="22"/>
        </w:rPr>
      </w:pPr>
    </w:p>
    <w:p w14:paraId="07D14739" w14:textId="77777777" w:rsidR="00C96BE6" w:rsidRPr="001116C5" w:rsidRDefault="00C96BE6" w:rsidP="00C96BE6">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Ravnatelj je voditelj Centra. Ravnatelj predstavlja i zastupa Centar. Ravnatelj poduzima sve pravne radnje u ime i za račun Centra, zastupa Centar u svim postupcima pred sudovima, upravnim i drugim državnim tijelima te pravnim osobama s javnim ovlastima.</w:t>
      </w:r>
    </w:p>
    <w:p w14:paraId="02A5FA5A" w14:textId="77777777" w:rsidR="00C96BE6" w:rsidRPr="001116C5" w:rsidRDefault="00C96BE6" w:rsidP="00C96BE6">
      <w:pPr>
        <w:pStyle w:val="NoSpacing"/>
        <w:rPr>
          <w:rFonts w:asciiTheme="minorHAnsi" w:hAnsiTheme="minorHAnsi" w:cstheme="minorHAnsi"/>
          <w:sz w:val="22"/>
          <w:szCs w:val="22"/>
        </w:rPr>
      </w:pPr>
    </w:p>
    <w:p w14:paraId="4C1E016F"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Ravnateljica Centra je Željka Škaričić (od 1. lipnja 2023. v.d.ravnatelja).</w:t>
      </w:r>
    </w:p>
    <w:p w14:paraId="79948F6D" w14:textId="77777777" w:rsidR="00C96BE6" w:rsidRPr="001116C5" w:rsidRDefault="00C96BE6" w:rsidP="00C96BE6">
      <w:pPr>
        <w:pStyle w:val="NoSpacing"/>
        <w:rPr>
          <w:rFonts w:asciiTheme="minorHAnsi" w:hAnsiTheme="minorHAnsi" w:cstheme="minorHAnsi"/>
          <w:sz w:val="22"/>
          <w:szCs w:val="22"/>
        </w:rPr>
      </w:pPr>
    </w:p>
    <w:p w14:paraId="534F305F" w14:textId="77777777" w:rsidR="00C96BE6" w:rsidRPr="001116C5" w:rsidRDefault="00C96BE6" w:rsidP="00C96BE6">
      <w:pPr>
        <w:pStyle w:val="NoSpacing"/>
        <w:rPr>
          <w:rFonts w:asciiTheme="minorHAnsi" w:hAnsiTheme="minorHAnsi" w:cstheme="minorHAnsi"/>
          <w:sz w:val="22"/>
          <w:szCs w:val="22"/>
        </w:rPr>
      </w:pPr>
    </w:p>
    <w:p w14:paraId="1FFF9C62" w14:textId="77777777" w:rsidR="00C96BE6" w:rsidRPr="001116C5" w:rsidRDefault="00C96BE6" w:rsidP="00C96BE6">
      <w:pPr>
        <w:spacing w:line="360" w:lineRule="auto"/>
        <w:rPr>
          <w:rFonts w:asciiTheme="minorHAnsi" w:hAnsiTheme="minorHAnsi" w:cstheme="minorHAnsi"/>
          <w:b/>
          <w:szCs w:val="22"/>
          <w:lang w:val="hr-HR"/>
        </w:rPr>
      </w:pPr>
      <w:r w:rsidRPr="001116C5">
        <w:rPr>
          <w:rFonts w:asciiTheme="minorHAnsi" w:hAnsiTheme="minorHAnsi" w:cstheme="minorHAnsi"/>
          <w:b/>
          <w:szCs w:val="22"/>
          <w:lang w:val="hr-HR"/>
        </w:rPr>
        <w:t xml:space="preserve">2. </w:t>
      </w:r>
      <w:r w:rsidRPr="001116C5">
        <w:rPr>
          <w:rFonts w:asciiTheme="minorHAnsi" w:hAnsiTheme="minorHAnsi" w:cstheme="minorHAnsi"/>
          <w:b/>
          <w:szCs w:val="22"/>
          <w:lang w:val="hr-HR"/>
        </w:rPr>
        <w:tab/>
        <w:t>TEMELJNE RAČUNOVODSTVENE POLITIKE</w:t>
      </w:r>
    </w:p>
    <w:p w14:paraId="5BA55122" w14:textId="77777777" w:rsidR="00E818F7" w:rsidRPr="001116C5" w:rsidRDefault="00E818F7" w:rsidP="00E818F7">
      <w:pPr>
        <w:pStyle w:val="T1"/>
        <w:keepNext w:val="0"/>
        <w:tabs>
          <w:tab w:val="right" w:pos="9781"/>
        </w:tabs>
        <w:spacing w:before="120" w:after="120"/>
        <w:jc w:val="both"/>
        <w:rPr>
          <w:rFonts w:asciiTheme="minorHAnsi" w:hAnsiTheme="minorHAnsi" w:cstheme="minorHAnsi"/>
          <w:b/>
          <w:sz w:val="22"/>
          <w:szCs w:val="22"/>
          <w:lang w:val="hr-HR"/>
        </w:rPr>
      </w:pPr>
      <w:r w:rsidRPr="001116C5">
        <w:rPr>
          <w:rFonts w:asciiTheme="minorHAnsi" w:hAnsiTheme="minorHAnsi" w:cstheme="minorHAnsi"/>
          <w:b/>
          <w:sz w:val="22"/>
          <w:szCs w:val="22"/>
          <w:lang w:val="hr-HR"/>
        </w:rPr>
        <w:t>Izjava o usklađenosti</w:t>
      </w:r>
    </w:p>
    <w:p w14:paraId="70267A50" w14:textId="77777777" w:rsidR="00E818F7" w:rsidRPr="001116C5" w:rsidRDefault="00E818F7" w:rsidP="00E818F7">
      <w:pPr>
        <w:pStyle w:val="T1"/>
        <w:keepNext w:val="0"/>
        <w:tabs>
          <w:tab w:val="right" w:pos="9781"/>
        </w:tabs>
        <w:spacing w:before="120" w:after="120"/>
        <w:jc w:val="both"/>
        <w:rPr>
          <w:rFonts w:asciiTheme="minorHAnsi" w:hAnsiTheme="minorHAnsi" w:cstheme="minorHAnsi"/>
          <w:sz w:val="22"/>
          <w:szCs w:val="22"/>
          <w:lang w:val="hr-HR"/>
        </w:rPr>
      </w:pPr>
      <w:r w:rsidRPr="001116C5">
        <w:rPr>
          <w:rFonts w:asciiTheme="minorHAnsi" w:hAnsiTheme="minorHAnsi" w:cstheme="minorHAnsi"/>
          <w:sz w:val="22"/>
          <w:szCs w:val="22"/>
          <w:lang w:val="hr-HR"/>
        </w:rPr>
        <w:t xml:space="preserve">Financijski izvještaji sastavljeni su sukladno Zakonu o financijskom poslovanju i računovodstvu neprofitnih organizacija (NN 121/14, 114/22 dalje u tekstu: Zakon) i Pravilniku o neprofitnom računovodstvu i računskom planu (NN 25/17, 96/18, 103/18, 134/22 dalje u tekstu: Pravilnik). </w:t>
      </w:r>
    </w:p>
    <w:p w14:paraId="0F2F3DA9" w14:textId="77777777" w:rsidR="00E818F7" w:rsidRPr="001116C5" w:rsidRDefault="00E818F7" w:rsidP="00E818F7">
      <w:pPr>
        <w:pStyle w:val="T1"/>
        <w:keepNext w:val="0"/>
        <w:tabs>
          <w:tab w:val="right" w:pos="9781"/>
        </w:tabs>
        <w:spacing w:before="120" w:after="120"/>
        <w:jc w:val="both"/>
        <w:rPr>
          <w:rFonts w:asciiTheme="minorHAnsi" w:hAnsiTheme="minorHAnsi" w:cstheme="minorHAnsi"/>
          <w:b/>
          <w:sz w:val="22"/>
          <w:szCs w:val="22"/>
          <w:lang w:val="hr-HR"/>
        </w:rPr>
      </w:pPr>
      <w:r w:rsidRPr="001116C5">
        <w:rPr>
          <w:rFonts w:asciiTheme="minorHAnsi" w:hAnsiTheme="minorHAnsi" w:cstheme="minorHAnsi"/>
          <w:b/>
          <w:sz w:val="22"/>
          <w:szCs w:val="22"/>
          <w:lang w:val="hr-HR"/>
        </w:rPr>
        <w:t>Osnova za sastavljanje izvještaja</w:t>
      </w:r>
    </w:p>
    <w:p w14:paraId="225D33C5" w14:textId="77777777" w:rsidR="00E818F7" w:rsidRPr="001116C5" w:rsidRDefault="00E818F7" w:rsidP="00E818F7">
      <w:pPr>
        <w:pStyle w:val="T1"/>
        <w:keepNext w:val="0"/>
        <w:tabs>
          <w:tab w:val="right" w:pos="9781"/>
        </w:tabs>
        <w:spacing w:before="120" w:after="120"/>
        <w:jc w:val="both"/>
        <w:rPr>
          <w:rFonts w:asciiTheme="minorHAnsi" w:hAnsiTheme="minorHAnsi" w:cstheme="minorHAnsi"/>
          <w:sz w:val="22"/>
          <w:szCs w:val="22"/>
          <w:lang w:val="hr-HR"/>
        </w:rPr>
      </w:pPr>
      <w:r w:rsidRPr="001116C5">
        <w:rPr>
          <w:rFonts w:asciiTheme="minorHAnsi" w:hAnsiTheme="minorHAnsi" w:cstheme="minorHAnsi"/>
          <w:sz w:val="22"/>
          <w:szCs w:val="22"/>
          <w:lang w:val="hr-HR"/>
        </w:rPr>
        <w:t xml:space="preserve">Financijski izvještaji su izrađeni po načelu povijesnog troška i načelu neograničenosti vremena poslovanja. </w:t>
      </w:r>
    </w:p>
    <w:p w14:paraId="186E0A35" w14:textId="77777777" w:rsidR="00E818F7" w:rsidRPr="001116C5" w:rsidRDefault="00E818F7" w:rsidP="00E818F7">
      <w:pPr>
        <w:pStyle w:val="T1"/>
        <w:keepNext w:val="0"/>
        <w:tabs>
          <w:tab w:val="right" w:pos="9781"/>
        </w:tabs>
        <w:spacing w:before="120" w:after="120"/>
        <w:jc w:val="both"/>
        <w:rPr>
          <w:rFonts w:asciiTheme="minorHAnsi" w:hAnsiTheme="minorHAnsi" w:cstheme="minorHAnsi"/>
          <w:b/>
          <w:sz w:val="22"/>
          <w:szCs w:val="22"/>
          <w:lang w:val="hr-HR"/>
        </w:rPr>
      </w:pPr>
    </w:p>
    <w:p w14:paraId="59AAE311" w14:textId="5D3A1615" w:rsidR="00E818F7" w:rsidRPr="001116C5" w:rsidRDefault="00E818F7" w:rsidP="00E818F7">
      <w:pPr>
        <w:pStyle w:val="T1"/>
        <w:keepNext w:val="0"/>
        <w:tabs>
          <w:tab w:val="right" w:pos="9781"/>
        </w:tabs>
        <w:spacing w:before="120" w:after="120"/>
        <w:jc w:val="both"/>
        <w:rPr>
          <w:rFonts w:asciiTheme="minorHAnsi" w:hAnsiTheme="minorHAnsi" w:cstheme="minorHAnsi"/>
          <w:b/>
          <w:sz w:val="22"/>
          <w:szCs w:val="22"/>
          <w:lang w:val="hr-HR"/>
        </w:rPr>
      </w:pPr>
      <w:r w:rsidRPr="001116C5">
        <w:rPr>
          <w:rFonts w:asciiTheme="minorHAnsi" w:hAnsiTheme="minorHAnsi" w:cstheme="minorHAnsi"/>
          <w:b/>
          <w:sz w:val="22"/>
          <w:szCs w:val="22"/>
          <w:lang w:val="hr-HR"/>
        </w:rPr>
        <w:t>Funkcionalna valuta i valuta prezentiranja</w:t>
      </w:r>
    </w:p>
    <w:p w14:paraId="0BD5F811" w14:textId="77777777" w:rsidR="00E818F7" w:rsidRPr="001116C5" w:rsidRDefault="00E818F7" w:rsidP="00E818F7">
      <w:pPr>
        <w:pStyle w:val="NoSpacing"/>
        <w:rPr>
          <w:rFonts w:asciiTheme="minorHAnsi" w:hAnsiTheme="minorHAnsi" w:cstheme="minorHAnsi"/>
          <w:sz w:val="22"/>
          <w:szCs w:val="22"/>
        </w:rPr>
      </w:pPr>
    </w:p>
    <w:p w14:paraId="2A9A6571" w14:textId="77777777" w:rsidR="00E818F7" w:rsidRPr="001116C5" w:rsidRDefault="00E818F7" w:rsidP="00E818F7">
      <w:pPr>
        <w:pStyle w:val="T1"/>
        <w:keepNext w:val="0"/>
        <w:tabs>
          <w:tab w:val="right" w:pos="9781"/>
        </w:tabs>
        <w:spacing w:after="0" w:line="360" w:lineRule="auto"/>
        <w:jc w:val="both"/>
        <w:rPr>
          <w:rFonts w:asciiTheme="minorHAnsi" w:hAnsiTheme="minorHAnsi" w:cstheme="minorHAnsi"/>
          <w:sz w:val="22"/>
          <w:szCs w:val="22"/>
          <w:lang w:val="hr-HR"/>
        </w:rPr>
      </w:pPr>
      <w:r w:rsidRPr="001116C5">
        <w:rPr>
          <w:rFonts w:asciiTheme="minorHAnsi" w:hAnsiTheme="minorHAnsi" w:cstheme="minorHAnsi"/>
          <w:sz w:val="22"/>
          <w:szCs w:val="22"/>
          <w:lang w:val="hr-HR"/>
        </w:rPr>
        <w:t>Stavke uključene u financijske izvještaje Centra iskazane su u valuti primarnog gospodarskog okruženja u kojem Centar posluje („funkcionalna valuta“). Financijski izvještaji prikazani su u eurima, što predstavlja funkcionalnu i izvještajnu valutu Centra.</w:t>
      </w:r>
    </w:p>
    <w:p w14:paraId="00325B8C" w14:textId="77777777" w:rsidR="00E818F7" w:rsidRPr="001116C5" w:rsidRDefault="00E818F7" w:rsidP="00E818F7">
      <w:pPr>
        <w:pStyle w:val="T1"/>
        <w:keepNext w:val="0"/>
        <w:tabs>
          <w:tab w:val="right" w:pos="9781"/>
        </w:tabs>
        <w:spacing w:after="0" w:line="360" w:lineRule="auto"/>
        <w:jc w:val="both"/>
        <w:rPr>
          <w:rFonts w:asciiTheme="minorHAnsi" w:hAnsiTheme="minorHAnsi" w:cstheme="minorHAnsi"/>
          <w:sz w:val="22"/>
          <w:szCs w:val="22"/>
          <w:lang w:val="hr-HR"/>
        </w:rPr>
      </w:pPr>
    </w:p>
    <w:p w14:paraId="26EEC5E1" w14:textId="77777777" w:rsidR="00E818F7" w:rsidRPr="001116C5" w:rsidRDefault="00E818F7" w:rsidP="00E818F7">
      <w:pPr>
        <w:pStyle w:val="T1"/>
        <w:keepNext w:val="0"/>
        <w:tabs>
          <w:tab w:val="right" w:pos="9781"/>
        </w:tabs>
        <w:spacing w:after="0" w:line="360" w:lineRule="auto"/>
        <w:jc w:val="both"/>
        <w:rPr>
          <w:rFonts w:asciiTheme="minorHAnsi" w:hAnsiTheme="minorHAnsi" w:cstheme="minorHAnsi"/>
          <w:sz w:val="22"/>
          <w:szCs w:val="22"/>
          <w:lang w:val="hr-HR"/>
        </w:rPr>
      </w:pPr>
      <w:r w:rsidRPr="001116C5">
        <w:rPr>
          <w:rFonts w:asciiTheme="minorHAnsi" w:hAnsiTheme="minorHAnsi" w:cstheme="minorHAnsi"/>
          <w:sz w:val="22"/>
          <w:szCs w:val="22"/>
          <w:lang w:val="hr-HR"/>
        </w:rPr>
        <w:t>Usporedni financijski izvještaji za 2022. godinu, u kojoj je funkcionalna valuta bila hrvatska kuna, preračunati su primjenom srednjeg tečaja konverziju u euro (1 EUR = 7,53450 HRK).</w:t>
      </w:r>
    </w:p>
    <w:p w14:paraId="312A0F2C" w14:textId="77777777" w:rsidR="00E818F7" w:rsidRPr="001116C5" w:rsidRDefault="00E818F7" w:rsidP="00E818F7">
      <w:pPr>
        <w:pStyle w:val="T1"/>
        <w:keepNext w:val="0"/>
        <w:tabs>
          <w:tab w:val="right" w:pos="9781"/>
        </w:tabs>
        <w:spacing w:after="0" w:line="360" w:lineRule="auto"/>
        <w:jc w:val="both"/>
        <w:rPr>
          <w:rFonts w:asciiTheme="minorHAnsi" w:hAnsiTheme="minorHAnsi" w:cstheme="minorHAnsi"/>
          <w:sz w:val="22"/>
          <w:szCs w:val="22"/>
          <w:lang w:val="hr-HR"/>
        </w:rPr>
      </w:pPr>
      <w:r w:rsidRPr="001116C5">
        <w:rPr>
          <w:rFonts w:asciiTheme="minorHAnsi" w:hAnsiTheme="minorHAnsi" w:cstheme="minorHAnsi"/>
          <w:sz w:val="22"/>
          <w:szCs w:val="22"/>
          <w:lang w:val="hr-HR"/>
        </w:rPr>
        <w:t>Na dan 31. prosinca tečaj eura u odnosu na dolar bio je 1,1050 USD (31.12.2022.: 1,0666 USD).</w:t>
      </w:r>
    </w:p>
    <w:p w14:paraId="3594E952" w14:textId="77777777" w:rsidR="00E818F7" w:rsidRPr="001116C5" w:rsidRDefault="00E818F7" w:rsidP="00E818F7">
      <w:pPr>
        <w:pStyle w:val="NoSpacing"/>
        <w:rPr>
          <w:rFonts w:asciiTheme="minorHAnsi" w:hAnsiTheme="minorHAnsi" w:cstheme="minorHAnsi"/>
          <w:sz w:val="22"/>
          <w:szCs w:val="22"/>
        </w:rPr>
      </w:pPr>
    </w:p>
    <w:p w14:paraId="2CC7BC91" w14:textId="77777777" w:rsidR="00E818F7" w:rsidRPr="001116C5" w:rsidRDefault="00E818F7" w:rsidP="00E818F7">
      <w:pPr>
        <w:pStyle w:val="T1"/>
        <w:keepNext w:val="0"/>
        <w:tabs>
          <w:tab w:val="right" w:pos="9781"/>
        </w:tabs>
        <w:spacing w:after="120"/>
        <w:jc w:val="both"/>
        <w:rPr>
          <w:rFonts w:asciiTheme="minorHAnsi" w:hAnsiTheme="minorHAnsi" w:cstheme="minorHAnsi"/>
          <w:b/>
          <w:sz w:val="22"/>
          <w:szCs w:val="22"/>
          <w:lang w:val="hr-HR"/>
        </w:rPr>
      </w:pPr>
      <w:r w:rsidRPr="001116C5">
        <w:rPr>
          <w:rFonts w:asciiTheme="minorHAnsi" w:hAnsiTheme="minorHAnsi" w:cstheme="minorHAnsi"/>
          <w:b/>
          <w:sz w:val="22"/>
          <w:szCs w:val="22"/>
          <w:lang w:val="hr-HR"/>
        </w:rPr>
        <w:t xml:space="preserve">Prezentiranje financijskih izvještaja </w:t>
      </w:r>
    </w:p>
    <w:p w14:paraId="0599CEFC" w14:textId="77777777" w:rsidR="00E818F7" w:rsidRPr="001116C5" w:rsidRDefault="00E818F7" w:rsidP="00E818F7">
      <w:pPr>
        <w:pStyle w:val="T1"/>
        <w:keepNext w:val="0"/>
        <w:tabs>
          <w:tab w:val="right" w:pos="9781"/>
        </w:tabs>
        <w:spacing w:after="120"/>
        <w:jc w:val="both"/>
        <w:rPr>
          <w:rFonts w:asciiTheme="minorHAnsi" w:hAnsiTheme="minorHAnsi" w:cstheme="minorHAnsi"/>
          <w:sz w:val="22"/>
          <w:szCs w:val="22"/>
          <w:lang w:val="hr-HR"/>
        </w:rPr>
      </w:pPr>
      <w:r w:rsidRPr="001116C5">
        <w:rPr>
          <w:rFonts w:asciiTheme="minorHAnsi" w:hAnsiTheme="minorHAnsi" w:cstheme="minorHAnsi"/>
          <w:sz w:val="22"/>
          <w:szCs w:val="22"/>
          <w:lang w:val="hr-HR"/>
        </w:rPr>
        <w:t>Financijski izvještaji sastavljeni su na konzistentnoj osnovi prezentacije i na klasifikaciji. U slučaju izmjene prikaza i klasifikacije stavki u financijskim izvještajima, usporedni iznosi se također reklasificiraju osim ako to nije izvedivo.</w:t>
      </w:r>
    </w:p>
    <w:p w14:paraId="78A657E2" w14:textId="508A6048"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60" w:lineRule="auto"/>
        <w:rPr>
          <w:rFonts w:asciiTheme="minorHAnsi" w:hAnsiTheme="minorHAnsi" w:cstheme="minorHAnsi"/>
          <w:b/>
          <w:szCs w:val="22"/>
          <w:lang w:val="hr-HR"/>
        </w:rPr>
      </w:pPr>
      <w:r w:rsidRPr="001116C5">
        <w:rPr>
          <w:rFonts w:asciiTheme="minorHAnsi" w:hAnsiTheme="minorHAnsi" w:cstheme="minorHAnsi"/>
          <w:b/>
          <w:szCs w:val="22"/>
          <w:lang w:val="hr-HR"/>
        </w:rPr>
        <w:lastRenderedPageBreak/>
        <w:t>Iskazivanje prihoda i rashoda</w:t>
      </w:r>
    </w:p>
    <w:p w14:paraId="20867E1A" w14:textId="77777777" w:rsidR="00E818F7" w:rsidRPr="001116C5" w:rsidRDefault="00E818F7" w:rsidP="00E818F7">
      <w:pPr>
        <w:pStyle w:val="T1"/>
        <w:keepNext w:val="0"/>
        <w:tabs>
          <w:tab w:val="right" w:pos="9781"/>
        </w:tabs>
        <w:spacing w:after="120"/>
        <w:jc w:val="both"/>
        <w:rPr>
          <w:rFonts w:asciiTheme="minorHAnsi" w:hAnsiTheme="minorHAnsi" w:cstheme="minorHAnsi"/>
          <w:sz w:val="22"/>
          <w:szCs w:val="22"/>
          <w:lang w:val="hr-HR"/>
        </w:rPr>
      </w:pPr>
      <w:r w:rsidRPr="001116C5">
        <w:rPr>
          <w:rFonts w:asciiTheme="minorHAnsi" w:hAnsiTheme="minorHAnsi" w:cstheme="minorHAnsi"/>
          <w:sz w:val="22"/>
          <w:szCs w:val="22"/>
          <w:lang w:val="hr-HR"/>
        </w:rPr>
        <w:t>Prihodi i rashodi iskazuju se uz primjenu računovodstvenog načela nastanka događaja.</w:t>
      </w:r>
    </w:p>
    <w:p w14:paraId="62A06ECE" w14:textId="77777777" w:rsidR="00E818F7" w:rsidRPr="001116C5" w:rsidRDefault="00E818F7" w:rsidP="00E818F7">
      <w:pPr>
        <w:pStyle w:val="NoSpacing"/>
        <w:rPr>
          <w:rFonts w:asciiTheme="minorHAnsi" w:hAnsiTheme="minorHAnsi" w:cstheme="minorHAnsi"/>
          <w:sz w:val="22"/>
          <w:szCs w:val="22"/>
        </w:rPr>
      </w:pPr>
    </w:p>
    <w:p w14:paraId="3FC7B9FD" w14:textId="77777777" w:rsidR="00E818F7" w:rsidRPr="001116C5" w:rsidRDefault="00E818F7" w:rsidP="00E818F7">
      <w:p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Računovodstveno načelo nastanka događaja znači da se:</w:t>
      </w:r>
    </w:p>
    <w:p w14:paraId="6C3700FD" w14:textId="77777777" w:rsidR="00E818F7" w:rsidRPr="001116C5" w:rsidRDefault="00E818F7" w:rsidP="00E818F7">
      <w:pPr>
        <w:numPr>
          <w:ilvl w:val="0"/>
          <w:numId w:val="24"/>
        </w:num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recipročni prihodi (prihodi na temelju isporučenih dobara i usluga) priznaju u izvještajnom razdoblju na koje se odnose pod uvjetom da se mogu izmjeriti neovisno o naplati,</w:t>
      </w:r>
    </w:p>
    <w:p w14:paraId="152DE133" w14:textId="77777777" w:rsidR="00E818F7" w:rsidRPr="001116C5" w:rsidRDefault="00E818F7" w:rsidP="00E818F7">
      <w:pPr>
        <w:numPr>
          <w:ilvl w:val="0"/>
          <w:numId w:val="24"/>
        </w:num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nerecipročni prihodi (prihodi po posebnim propisima, donacije, članarine, pomoći, doprinosi i ostali slični prihodi) priznaju u izvještajnom razdoblju na koje se odnose pod uvjetom da su raspoloživi (naplaćeni) u izvještajnom razdoblju, a mogu se priznati u izvještajnom razdoblju ako su naplaćeni najkasnije do trenutka predočavanja financijskih izvještaja za isto razdoblje,</w:t>
      </w:r>
    </w:p>
    <w:p w14:paraId="1C251B99" w14:textId="77777777" w:rsidR="00E818F7" w:rsidRPr="001116C5" w:rsidRDefault="00E818F7" w:rsidP="00E818F7">
      <w:pPr>
        <w:numPr>
          <w:ilvl w:val="0"/>
          <w:numId w:val="24"/>
        </w:num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donacije povezane s izvršenjem ugovorenih programa (projekata i aktivnosti) priznaju u bilanci kao odgođeni prihod uz priznavanje u prihode izvještajnog razdoblja razmjerno troškovima provedbe ugovorenih programa (projekata i aktivnosti)</w:t>
      </w:r>
    </w:p>
    <w:p w14:paraId="56A08DA7" w14:textId="77777777" w:rsidR="00E818F7" w:rsidRPr="001116C5" w:rsidRDefault="00E818F7" w:rsidP="00E818F7">
      <w:pPr>
        <w:numPr>
          <w:ilvl w:val="0"/>
          <w:numId w:val="24"/>
        </w:num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donacije povezane s nefinancijskom imovinom koja se amortizira priznaju u bilanci kao odgođeni </w:t>
      </w:r>
    </w:p>
    <w:p w14:paraId="68672E09" w14:textId="77777777" w:rsidR="00E818F7" w:rsidRPr="001116C5" w:rsidRDefault="00E818F7" w:rsidP="00E818F7">
      <w:pPr>
        <w:spacing w:line="360" w:lineRule="auto"/>
        <w:ind w:left="720"/>
        <w:rPr>
          <w:rFonts w:asciiTheme="minorHAnsi" w:hAnsiTheme="minorHAnsi" w:cstheme="minorHAnsi"/>
          <w:szCs w:val="22"/>
          <w:lang w:val="pt-PT"/>
        </w:rPr>
      </w:pPr>
      <w:r w:rsidRPr="001116C5">
        <w:rPr>
          <w:rFonts w:asciiTheme="minorHAnsi" w:hAnsiTheme="minorHAnsi" w:cstheme="minorHAnsi"/>
          <w:szCs w:val="22"/>
          <w:lang w:val="pt-PT"/>
        </w:rPr>
        <w:t xml:space="preserve">prihod uz priznavanje u prihode izvještajnog razdoblja na sustavnoj osnovi razmjerno troškovima upotrebe nefinancijske imovine u razdoblju korištenja </w:t>
      </w:r>
    </w:p>
    <w:p w14:paraId="595DFE76" w14:textId="77777777" w:rsidR="00E818F7" w:rsidRPr="001116C5" w:rsidRDefault="00E818F7" w:rsidP="00E818F7">
      <w:pPr>
        <w:numPr>
          <w:ilvl w:val="0"/>
          <w:numId w:val="24"/>
        </w:num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rashodi priznaju u izvještajnom razdoblju na koje se odnose neovisno o plaćanju </w:t>
      </w:r>
    </w:p>
    <w:p w14:paraId="05F7E3FD" w14:textId="77777777" w:rsidR="00E818F7" w:rsidRPr="001116C5" w:rsidRDefault="00E818F7" w:rsidP="00E818F7">
      <w:pPr>
        <w:numPr>
          <w:ilvl w:val="0"/>
          <w:numId w:val="24"/>
        </w:num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rashodi za utrošak kratkotrajne nefinancijske imovine priznaju u trenutku stvarnog utroška, odnosno prodaje, i </w:t>
      </w:r>
    </w:p>
    <w:p w14:paraId="11F222B3" w14:textId="77777777" w:rsidR="00E818F7" w:rsidRPr="001116C5" w:rsidRDefault="00E818F7" w:rsidP="00E818F7">
      <w:pPr>
        <w:numPr>
          <w:ilvl w:val="0"/>
          <w:numId w:val="24"/>
        </w:num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troškovi nabave dugotrajne imovine kapitaliziraju, a u rashode priznaju tijekom korisnog vijeka upotrebe. </w:t>
      </w:r>
    </w:p>
    <w:p w14:paraId="06DD3F12" w14:textId="77777777" w:rsidR="00E818F7" w:rsidRPr="001116C5" w:rsidRDefault="00E818F7" w:rsidP="00E818F7">
      <w:pPr>
        <w:spacing w:line="360" w:lineRule="auto"/>
        <w:rPr>
          <w:rFonts w:asciiTheme="minorHAnsi" w:hAnsiTheme="minorHAnsi" w:cstheme="minorHAnsi"/>
          <w:szCs w:val="22"/>
          <w:lang w:val="pt-PT"/>
        </w:rPr>
      </w:pPr>
    </w:p>
    <w:p w14:paraId="250B7801" w14:textId="77A4C317" w:rsidR="00E818F7" w:rsidRPr="001116C5" w:rsidRDefault="00E818F7" w:rsidP="00E818F7">
      <w:p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Prihod je povećanje ekonomskih koristi ili uslužnog potencijala tijekom izvještajnog razdoblja u obliku pritjecanja imovine bez istodobnog povećanja obveza ili smanjenja obveza bez istodobnog odljeva imovine. </w:t>
      </w:r>
    </w:p>
    <w:p w14:paraId="440773CA" w14:textId="77777777" w:rsidR="00E818F7" w:rsidRPr="001116C5" w:rsidRDefault="00E818F7" w:rsidP="00E818F7">
      <w:pPr>
        <w:pStyle w:val="NoSpacing"/>
        <w:rPr>
          <w:rFonts w:asciiTheme="minorHAnsi" w:hAnsiTheme="minorHAnsi" w:cstheme="minorHAnsi"/>
          <w:sz w:val="22"/>
          <w:szCs w:val="22"/>
        </w:rPr>
      </w:pPr>
    </w:p>
    <w:p w14:paraId="6CF1D36A"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Rashod je umanjenje ekonomskih koristi ili uslužnog potencijala u obliku smanjenja imovine ili povećanja obveza bez istodobnog povećanja financijske imovine.</w:t>
      </w:r>
    </w:p>
    <w:p w14:paraId="7C55B618" w14:textId="77777777" w:rsidR="001116C5" w:rsidRDefault="001116C5">
      <w:pPr>
        <w:jc w:val="left"/>
        <w:rPr>
          <w:rFonts w:asciiTheme="minorHAnsi" w:hAnsiTheme="minorHAnsi" w:cstheme="minorHAnsi"/>
          <w:b/>
          <w:szCs w:val="22"/>
          <w:lang w:val="hr-HR"/>
        </w:rPr>
      </w:pPr>
      <w:r>
        <w:rPr>
          <w:rFonts w:asciiTheme="minorHAnsi" w:hAnsiTheme="minorHAnsi" w:cstheme="minorHAnsi"/>
          <w:b/>
          <w:szCs w:val="22"/>
          <w:lang w:val="hr-HR"/>
        </w:rPr>
        <w:br w:type="page"/>
      </w:r>
    </w:p>
    <w:p w14:paraId="14486AD8" w14:textId="4A42B63A"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rPr>
          <w:rFonts w:asciiTheme="minorHAnsi" w:hAnsiTheme="minorHAnsi" w:cstheme="minorHAnsi"/>
          <w:b/>
          <w:szCs w:val="22"/>
          <w:lang w:val="hr-HR"/>
        </w:rPr>
      </w:pPr>
      <w:r w:rsidRPr="001116C5">
        <w:rPr>
          <w:rFonts w:asciiTheme="minorHAnsi" w:hAnsiTheme="minorHAnsi" w:cstheme="minorHAnsi"/>
          <w:b/>
          <w:szCs w:val="22"/>
          <w:lang w:val="hr-HR"/>
        </w:rPr>
        <w:lastRenderedPageBreak/>
        <w:t>Iskazivanje imovine i obveza</w:t>
      </w:r>
    </w:p>
    <w:p w14:paraId="39379226" w14:textId="77777777" w:rsidR="00E818F7" w:rsidRPr="001116C5" w:rsidRDefault="00E818F7" w:rsidP="00E818F7">
      <w:pPr>
        <w:pStyle w:val="NoSpacing"/>
        <w:rPr>
          <w:rFonts w:asciiTheme="minorHAnsi" w:hAnsiTheme="minorHAnsi" w:cstheme="minorHAnsi"/>
          <w:sz w:val="22"/>
          <w:szCs w:val="22"/>
        </w:rPr>
      </w:pPr>
    </w:p>
    <w:p w14:paraId="23EE7FB1" w14:textId="77777777" w:rsidR="00E818F7" w:rsidRPr="001116C5" w:rsidRDefault="00E818F7" w:rsidP="00E818F7">
      <w:pPr>
        <w:spacing w:line="360" w:lineRule="auto"/>
        <w:rPr>
          <w:rFonts w:asciiTheme="minorHAnsi" w:hAnsiTheme="minorHAnsi" w:cstheme="minorHAnsi"/>
          <w:szCs w:val="22"/>
          <w:lang w:val="pt-PT"/>
        </w:rPr>
      </w:pPr>
      <w:r w:rsidRPr="001116C5">
        <w:rPr>
          <w:rFonts w:asciiTheme="minorHAnsi" w:hAnsiTheme="minorHAnsi" w:cstheme="minorHAnsi"/>
          <w:szCs w:val="22"/>
          <w:lang w:val="hr-HR"/>
        </w:rPr>
        <w:t xml:space="preserve">Imovina, obveze i vlastiti izvori određuju financijski položaj neprofitne organizacije. </w:t>
      </w:r>
      <w:r w:rsidRPr="001116C5">
        <w:rPr>
          <w:rFonts w:asciiTheme="minorHAnsi" w:hAnsiTheme="minorHAnsi" w:cstheme="minorHAnsi"/>
          <w:szCs w:val="22"/>
          <w:lang w:val="pt-PT"/>
        </w:rPr>
        <w:t>Imovina i obveze iskazuju se po računovodstvenom načelu nastanka događaja.</w:t>
      </w:r>
    </w:p>
    <w:p w14:paraId="0FA57282" w14:textId="77777777" w:rsidR="00E818F7" w:rsidRPr="001116C5" w:rsidRDefault="00E818F7" w:rsidP="00E818F7">
      <w:pPr>
        <w:pStyle w:val="NoSpacing"/>
        <w:rPr>
          <w:rFonts w:asciiTheme="minorHAnsi" w:hAnsiTheme="minorHAnsi" w:cstheme="minorHAnsi"/>
          <w:sz w:val="22"/>
          <w:szCs w:val="22"/>
        </w:rPr>
      </w:pPr>
    </w:p>
    <w:p w14:paraId="5926AA76"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Imovinu čine resursi koje neprofitna organizacija kontrolira kao rezultat prošlih događaja i od kojih se očekuju buduće koristi u obavljanju djelatnosti. </w:t>
      </w:r>
    </w:p>
    <w:p w14:paraId="3B66446A" w14:textId="77777777" w:rsidR="00E818F7" w:rsidRPr="001116C5" w:rsidRDefault="00E818F7" w:rsidP="00E818F7">
      <w:pPr>
        <w:pStyle w:val="NoSpacing"/>
        <w:rPr>
          <w:rFonts w:asciiTheme="minorHAnsi" w:hAnsiTheme="minorHAnsi" w:cstheme="minorHAnsi"/>
          <w:sz w:val="22"/>
          <w:szCs w:val="22"/>
        </w:rPr>
      </w:pPr>
    </w:p>
    <w:p w14:paraId="5D5B5E4A" w14:textId="77777777" w:rsidR="00E818F7" w:rsidRPr="001116C5" w:rsidRDefault="00E818F7" w:rsidP="00E818F7">
      <w:p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Imovina se klasificira po svojoj vrsti, trajnosti i funkciji u obavljanju djelatnosti. </w:t>
      </w:r>
    </w:p>
    <w:p w14:paraId="153D172D" w14:textId="77777777" w:rsidR="00E818F7" w:rsidRPr="001116C5" w:rsidRDefault="00E818F7" w:rsidP="00E818F7">
      <w:pPr>
        <w:pStyle w:val="NoSpacing"/>
        <w:rPr>
          <w:rFonts w:asciiTheme="minorHAnsi" w:hAnsiTheme="minorHAnsi" w:cstheme="minorHAnsi"/>
          <w:sz w:val="22"/>
          <w:szCs w:val="22"/>
        </w:rPr>
      </w:pPr>
    </w:p>
    <w:p w14:paraId="63AEC81A"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Obveze jesu neizmirena dugovanja proizašla iz prošlih događaja, za čiju namiru se očekuje odljev resursa.</w:t>
      </w:r>
    </w:p>
    <w:p w14:paraId="433F7479" w14:textId="77777777" w:rsidR="00E818F7" w:rsidRPr="001116C5" w:rsidRDefault="00E818F7" w:rsidP="00E818F7">
      <w:p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Obveze se klasificiraju prema namjeni i ročnosti.</w:t>
      </w:r>
    </w:p>
    <w:p w14:paraId="7464166D" w14:textId="77777777" w:rsidR="00E818F7" w:rsidRPr="001116C5" w:rsidRDefault="00E818F7" w:rsidP="00E818F7">
      <w:pPr>
        <w:pStyle w:val="NoSpacing"/>
        <w:rPr>
          <w:rFonts w:asciiTheme="minorHAnsi" w:hAnsiTheme="minorHAnsi" w:cstheme="minorHAnsi"/>
          <w:sz w:val="22"/>
          <w:szCs w:val="22"/>
        </w:rPr>
      </w:pPr>
    </w:p>
    <w:p w14:paraId="3EBD56F3"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Vlastiti izvori jesu ostatak vrijednosti imovine nakon odbitka svih obveza. </w:t>
      </w:r>
    </w:p>
    <w:p w14:paraId="00BD6BCB" w14:textId="77777777" w:rsidR="00E818F7" w:rsidRPr="001116C5" w:rsidRDefault="00E818F7" w:rsidP="00E818F7">
      <w:pPr>
        <w:pStyle w:val="NoSpacing"/>
        <w:rPr>
          <w:rFonts w:asciiTheme="minorHAnsi" w:hAnsiTheme="minorHAnsi" w:cstheme="minorHAnsi"/>
          <w:sz w:val="22"/>
          <w:szCs w:val="22"/>
        </w:rPr>
      </w:pPr>
    </w:p>
    <w:p w14:paraId="7DDCF11B" w14:textId="77777777" w:rsidR="00E818F7" w:rsidRPr="001116C5" w:rsidRDefault="00E818F7" w:rsidP="00E818F7">
      <w:p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Tuđa imovina prati se u izvanbilančnoj evidenciji. </w:t>
      </w:r>
    </w:p>
    <w:p w14:paraId="201A9904"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01" w:lineRule="atLeast"/>
        <w:rPr>
          <w:rFonts w:asciiTheme="minorHAnsi" w:hAnsiTheme="minorHAnsi" w:cstheme="minorHAnsi"/>
          <w:b/>
          <w:szCs w:val="22"/>
          <w:lang w:val="pt-PT"/>
        </w:rPr>
      </w:pPr>
      <w:r w:rsidRPr="001116C5">
        <w:rPr>
          <w:rFonts w:asciiTheme="minorHAnsi" w:hAnsiTheme="minorHAnsi" w:cstheme="minorHAnsi"/>
          <w:b/>
          <w:szCs w:val="22"/>
          <w:lang w:val="pt-PT"/>
        </w:rPr>
        <w:t>Dugotrajna nefinancijska imovina</w:t>
      </w:r>
    </w:p>
    <w:p w14:paraId="376CE560"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before="240" w:after="120" w:line="360" w:lineRule="auto"/>
        <w:rPr>
          <w:rFonts w:asciiTheme="minorHAnsi" w:hAnsiTheme="minorHAnsi" w:cstheme="minorHAnsi"/>
          <w:szCs w:val="22"/>
          <w:lang w:val="pt-PT"/>
        </w:rPr>
      </w:pPr>
      <w:r w:rsidRPr="001116C5">
        <w:rPr>
          <w:rFonts w:asciiTheme="minorHAnsi" w:hAnsiTheme="minorHAnsi" w:cstheme="minorHAnsi"/>
          <w:szCs w:val="22"/>
          <w:lang w:val="pt-PT"/>
        </w:rPr>
        <w:t>Dugotrajna nefinancijska imovina obuhvaća: neproizvedenu dugotrajnu imovinu, proizvedenu dugotrajnu imovinu, sitni inventar i dugotrajnu nefinancijsku imovinu u pripremi.</w:t>
      </w:r>
    </w:p>
    <w:p w14:paraId="67A8732F" w14:textId="77777777" w:rsidR="00E818F7" w:rsidRPr="001116C5" w:rsidRDefault="00E818F7" w:rsidP="00E818F7">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60" w:lineRule="auto"/>
        <w:ind w:left="567" w:hanging="283"/>
        <w:rPr>
          <w:rFonts w:asciiTheme="minorHAnsi" w:hAnsiTheme="minorHAnsi" w:cstheme="minorHAnsi"/>
          <w:b/>
          <w:szCs w:val="22"/>
          <w:lang w:val="pt-PT"/>
        </w:rPr>
      </w:pPr>
      <w:r w:rsidRPr="001116C5">
        <w:rPr>
          <w:rFonts w:asciiTheme="minorHAnsi" w:hAnsiTheme="minorHAnsi" w:cstheme="minorHAnsi"/>
          <w:szCs w:val="22"/>
          <w:lang w:val="pt-PT"/>
        </w:rPr>
        <w:t>Neproizvedena dugotrajna imovina uključuje nematerijalnu imovinu kao što su patenti, licence i ostala slična prava</w:t>
      </w:r>
    </w:p>
    <w:p w14:paraId="4457ADB6" w14:textId="77777777" w:rsidR="00E818F7" w:rsidRPr="001116C5" w:rsidRDefault="00E818F7" w:rsidP="00E818F7">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60" w:lineRule="auto"/>
        <w:ind w:left="567" w:hanging="283"/>
        <w:rPr>
          <w:rFonts w:asciiTheme="minorHAnsi" w:hAnsiTheme="minorHAnsi" w:cstheme="minorHAnsi"/>
          <w:b/>
          <w:szCs w:val="22"/>
          <w:lang w:val="pt-PT"/>
        </w:rPr>
      </w:pPr>
      <w:r w:rsidRPr="001116C5">
        <w:rPr>
          <w:rFonts w:asciiTheme="minorHAnsi" w:hAnsiTheme="minorHAnsi" w:cstheme="minorHAnsi"/>
          <w:szCs w:val="22"/>
          <w:lang w:val="pt-PT"/>
        </w:rPr>
        <w:t>Proizvedena dugotrajna imovina uključuje građevinske objekte, postrojenja i opremu, prijevozna sredstva, knjige, umjetnička djela i nematerijalnu proizvedenu imovinu.</w:t>
      </w:r>
    </w:p>
    <w:p w14:paraId="72AFFE93" w14:textId="77777777" w:rsidR="00E818F7" w:rsidRPr="001116C5" w:rsidRDefault="00E818F7" w:rsidP="00E818F7">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60" w:lineRule="auto"/>
        <w:ind w:left="567" w:hanging="283"/>
        <w:rPr>
          <w:rFonts w:asciiTheme="minorHAnsi" w:hAnsiTheme="minorHAnsi" w:cstheme="minorHAnsi"/>
          <w:b/>
          <w:szCs w:val="22"/>
        </w:rPr>
      </w:pPr>
      <w:r w:rsidRPr="001116C5">
        <w:rPr>
          <w:rFonts w:asciiTheme="minorHAnsi" w:hAnsiTheme="minorHAnsi" w:cstheme="minorHAnsi"/>
          <w:szCs w:val="22"/>
          <w:lang w:val="pt-PT"/>
        </w:rPr>
        <w:t xml:space="preserve">Zgrade i ostali građevinski objekti iskazuju se odvojeno od zemljišta na kojem su smješteni. Ako nije moguće odvojiti vrijednost objekta od zemljišta, tada se čitav iznos evidentira na imovini koja ima veću vrijednost. </w:t>
      </w:r>
      <w:r w:rsidRPr="001116C5">
        <w:rPr>
          <w:rFonts w:asciiTheme="minorHAnsi" w:hAnsiTheme="minorHAnsi" w:cstheme="minorHAnsi"/>
          <w:szCs w:val="22"/>
        </w:rPr>
        <w:t>Centar nema u svom vlasništvu građevinskih objekata i zemljišta.</w:t>
      </w:r>
    </w:p>
    <w:p w14:paraId="7FAEA447" w14:textId="77777777" w:rsidR="00E818F7" w:rsidRPr="001116C5" w:rsidRDefault="00E818F7" w:rsidP="00E818F7">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rPr>
          <w:rFonts w:asciiTheme="minorHAnsi" w:hAnsiTheme="minorHAnsi" w:cstheme="minorHAnsi"/>
          <w:b/>
          <w:szCs w:val="22"/>
          <w:lang w:val="pt-PT"/>
        </w:rPr>
      </w:pPr>
      <w:r w:rsidRPr="001116C5">
        <w:rPr>
          <w:rFonts w:asciiTheme="minorHAnsi" w:hAnsiTheme="minorHAnsi" w:cstheme="minorHAnsi"/>
          <w:szCs w:val="22"/>
          <w:lang w:val="pt-PT"/>
        </w:rPr>
        <w:t xml:space="preserve">Nematerijalna proizvedena imovina sastoji se od: ulaganja u računalne programe, umjetnička, literarna i znanstvena djela i sl. Ulaganja u računalne programe obuhvaća troškove kupnje ili nastale vlastite troškove izrade i razvoja programa. </w:t>
      </w:r>
    </w:p>
    <w:p w14:paraId="69E14601" w14:textId="77777777" w:rsidR="00E818F7" w:rsidRPr="001116C5" w:rsidRDefault="00E818F7" w:rsidP="00E818F7">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rPr>
          <w:rFonts w:asciiTheme="minorHAnsi" w:hAnsiTheme="minorHAnsi" w:cstheme="minorHAnsi"/>
          <w:szCs w:val="22"/>
          <w:lang w:val="pt-PT"/>
        </w:rPr>
      </w:pPr>
      <w:r w:rsidRPr="001116C5">
        <w:rPr>
          <w:rFonts w:asciiTheme="minorHAnsi" w:hAnsiTheme="minorHAnsi" w:cstheme="minorHAnsi"/>
          <w:szCs w:val="22"/>
          <w:lang w:val="pt-PT"/>
        </w:rPr>
        <w:t xml:space="preserve">Sitni inventar sastoji se od zaliha sitnog inventara i sitnog inventara u upotrebi. To je dugotrajna materijalna imovina koja se zbog pojedinačne nabavne vrijednosti manje od 464,53 EUR može </w:t>
      </w:r>
      <w:r w:rsidRPr="001116C5">
        <w:rPr>
          <w:rFonts w:asciiTheme="minorHAnsi" w:hAnsiTheme="minorHAnsi" w:cstheme="minorHAnsi"/>
          <w:szCs w:val="22"/>
          <w:lang w:val="pt-PT"/>
        </w:rPr>
        <w:lastRenderedPageBreak/>
        <w:t>pratiti izdvojeno od dugotrajne materijalne imovine. Sitni inventar u upotrebi se otpisuje jednokratno, stavljanjem u upotrebu. Sitni inventar u upotrebi zadržava se u evidenciji i iskazuje u bilanci do trenutka otuđenja.</w:t>
      </w:r>
    </w:p>
    <w:p w14:paraId="02478B47" w14:textId="77777777" w:rsidR="00E818F7" w:rsidRPr="001116C5" w:rsidRDefault="00E818F7" w:rsidP="00E818F7">
      <w:pPr>
        <w:numPr>
          <w:ilvl w:val="0"/>
          <w:numId w:val="32"/>
        </w:num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hanging="283"/>
        <w:rPr>
          <w:rFonts w:asciiTheme="minorHAnsi" w:hAnsiTheme="minorHAnsi" w:cstheme="minorHAnsi"/>
          <w:szCs w:val="22"/>
          <w:lang w:val="pt-PT"/>
        </w:rPr>
      </w:pPr>
      <w:r w:rsidRPr="001116C5">
        <w:rPr>
          <w:rFonts w:asciiTheme="minorHAnsi" w:hAnsiTheme="minorHAnsi" w:cstheme="minorHAnsi"/>
          <w:szCs w:val="22"/>
          <w:lang w:val="pt-PT"/>
        </w:rPr>
        <w:t>Nefinancijska imovina u pripremi sadrži ulaganja u tijeku izrade ili nabave proizvedene dugotrajne imovine.</w:t>
      </w:r>
    </w:p>
    <w:p w14:paraId="0DB6E063" w14:textId="77777777" w:rsidR="00E818F7" w:rsidRPr="001116C5" w:rsidRDefault="00E818F7" w:rsidP="00E818F7">
      <w:pPr>
        <w:tabs>
          <w:tab w:val="left" w:pos="567"/>
          <w:tab w:val="left" w:pos="993"/>
          <w:tab w:val="left" w:pos="2160"/>
          <w:tab w:val="left" w:pos="2880"/>
          <w:tab w:val="left" w:pos="3600"/>
          <w:tab w:val="left" w:pos="4320"/>
          <w:tab w:val="left" w:pos="5040"/>
          <w:tab w:val="left" w:pos="5760"/>
          <w:tab w:val="left" w:pos="6480"/>
          <w:tab w:val="left" w:pos="7200"/>
          <w:tab w:val="left" w:pos="7920"/>
        </w:tabs>
        <w:spacing w:line="301" w:lineRule="atLeast"/>
        <w:ind w:left="567"/>
        <w:rPr>
          <w:rFonts w:asciiTheme="minorHAnsi" w:hAnsiTheme="minorHAnsi" w:cstheme="minorHAnsi"/>
          <w:szCs w:val="22"/>
          <w:lang w:val="pt-PT"/>
        </w:rPr>
      </w:pPr>
    </w:p>
    <w:p w14:paraId="3BCAF548" w14:textId="77777777" w:rsidR="00E818F7" w:rsidRPr="001116C5" w:rsidRDefault="00E818F7" w:rsidP="00E818F7">
      <w:p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Sva dugotrajna nefinancijska imovina početno se iskazuje po trošku nabave (nabavnoj vrijednosti), odnosno po procijenjenoj vrijednosti. Dugotrajna nefinancijska imovina ima vijek upotrebe duži od jedne godine i duže od jedne godine zadržava isti pojavni oblik.</w:t>
      </w:r>
    </w:p>
    <w:p w14:paraId="7430A84A" w14:textId="77777777" w:rsidR="00E818F7" w:rsidRPr="001116C5" w:rsidRDefault="00E818F7" w:rsidP="00E818F7">
      <w:p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Trošak nabave (nabavnu vrijednost) nefinancijske imovine čini kupovna cijena uvećana za carine, nepovratne poreze, troškove prijevoza i sve druge troškove koji se mogu izravno dodati troškovima nabave i osposobljavanja za početak upotrebe. </w:t>
      </w:r>
    </w:p>
    <w:p w14:paraId="09B5169F" w14:textId="77777777" w:rsidR="00E818F7" w:rsidRPr="001116C5" w:rsidRDefault="00E818F7" w:rsidP="00E818F7">
      <w:pPr>
        <w:pStyle w:val="NoSpacing"/>
        <w:rPr>
          <w:rFonts w:asciiTheme="minorHAnsi" w:hAnsiTheme="minorHAnsi" w:cstheme="minorHAnsi"/>
          <w:sz w:val="22"/>
          <w:szCs w:val="22"/>
        </w:rPr>
      </w:pPr>
    </w:p>
    <w:p w14:paraId="03318F6F"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Ulaganja kojima se produžuje vijek upotrebe, povećava kapacitet, mijenja namjena i znatno poboljšavaju funkcionalna svojstva, kao npr. ulaganja u obnovu, rekonstrukciju ili povećanje dugotrajne nefinancijske imovine koja ne moraju biti uvjetovana stanjem imovine, evidentiraju se kao povećanje vrijednosti imovine na kojoj je ulaganje izvršeno.</w:t>
      </w:r>
    </w:p>
    <w:p w14:paraId="1F58353F"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Svi ostali naknadni troškovi priznaju se kao rashod u razdoblju kada su nastali. </w:t>
      </w:r>
    </w:p>
    <w:p w14:paraId="15FF73E7" w14:textId="77777777" w:rsidR="00E818F7" w:rsidRPr="001116C5" w:rsidRDefault="00E818F7" w:rsidP="00E818F7">
      <w:pPr>
        <w:pStyle w:val="NoSpacing"/>
        <w:rPr>
          <w:rFonts w:asciiTheme="minorHAnsi" w:hAnsiTheme="minorHAnsi" w:cstheme="minorHAnsi"/>
          <w:sz w:val="22"/>
          <w:szCs w:val="22"/>
        </w:rPr>
      </w:pPr>
    </w:p>
    <w:p w14:paraId="040E3060"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Dobici i gubici od otuđenja dugotrajne nefinancijske imovine priznaju se unutar ostalih prihoda i rashoda u izvještaju prihoda i rashoda.</w:t>
      </w:r>
    </w:p>
    <w:p w14:paraId="2F6282FB" w14:textId="77777777" w:rsidR="00E818F7" w:rsidRPr="001116C5" w:rsidRDefault="00E818F7" w:rsidP="00E818F7">
      <w:pPr>
        <w:pStyle w:val="NoSpacing"/>
        <w:rPr>
          <w:rFonts w:asciiTheme="minorHAnsi" w:hAnsiTheme="minorHAnsi" w:cstheme="minorHAnsi"/>
          <w:sz w:val="22"/>
          <w:szCs w:val="22"/>
        </w:rPr>
      </w:pPr>
    </w:p>
    <w:p w14:paraId="7147A22F"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Vrijednost pojedinog predmeta dugotrajne nefinancijske imovine amortizira se, odnosno ispravlja linearnom metodom u korisnom vijeku upotrebe počevši od prvog dana mjeseca iza mjeseca u kojem je imovina stavljena u upotrebu. Osnovica za ispravak vrijednosti dugotrajne imovine jest njezin početni ili revalorizirani trošak nabave (nabavna vrijednost), odnosno procijenjena vrijednost. Stope amortizacije određene su prema skupinama dugotrajne imovine i prema procijenjenom korisnom vijeku upotrebe dugotrajne imovine kako slijedi:</w:t>
      </w:r>
    </w:p>
    <w:tbl>
      <w:tblPr>
        <w:tblW w:w="4944" w:type="pct"/>
        <w:tblInd w:w="108" w:type="dxa"/>
        <w:tblLook w:val="0000" w:firstRow="0" w:lastRow="0" w:firstColumn="0" w:lastColumn="0" w:noHBand="0" w:noVBand="0"/>
      </w:tblPr>
      <w:tblGrid>
        <w:gridCol w:w="5128"/>
        <w:gridCol w:w="1943"/>
        <w:gridCol w:w="278"/>
        <w:gridCol w:w="1902"/>
      </w:tblGrid>
      <w:tr w:rsidR="00E818F7" w:rsidRPr="001116C5" w14:paraId="1D4023E5" w14:textId="77777777" w:rsidTr="00E818F7">
        <w:trPr>
          <w:trHeight w:val="284"/>
        </w:trPr>
        <w:tc>
          <w:tcPr>
            <w:tcW w:w="5128" w:type="dxa"/>
            <w:shd w:val="clear" w:color="auto" w:fill="auto"/>
            <w:vAlign w:val="center"/>
          </w:tcPr>
          <w:p w14:paraId="16BA6D3B" w14:textId="77777777" w:rsidR="00E818F7" w:rsidRPr="001116C5" w:rsidRDefault="00E818F7" w:rsidP="0086616B">
            <w:pPr>
              <w:spacing w:before="120"/>
              <w:rPr>
                <w:rFonts w:asciiTheme="minorHAnsi" w:hAnsiTheme="minorHAnsi" w:cstheme="minorHAnsi"/>
                <w:b/>
                <w:szCs w:val="22"/>
                <w:lang w:val="hr-HR"/>
              </w:rPr>
            </w:pPr>
          </w:p>
        </w:tc>
        <w:tc>
          <w:tcPr>
            <w:tcW w:w="1943" w:type="dxa"/>
            <w:tcBorders>
              <w:bottom w:val="single" w:sz="4" w:space="0" w:color="auto"/>
            </w:tcBorders>
            <w:shd w:val="clear" w:color="auto" w:fill="auto"/>
            <w:vAlign w:val="center"/>
          </w:tcPr>
          <w:p w14:paraId="08FD2E7A" w14:textId="77777777" w:rsidR="00E818F7" w:rsidRPr="001116C5" w:rsidDel="00A06BB4" w:rsidRDefault="00E818F7" w:rsidP="0086616B">
            <w:pPr>
              <w:spacing w:before="120"/>
              <w:jc w:val="right"/>
              <w:rPr>
                <w:rFonts w:asciiTheme="minorHAnsi" w:hAnsiTheme="minorHAnsi" w:cstheme="minorHAnsi"/>
                <w:b/>
                <w:szCs w:val="22"/>
              </w:rPr>
            </w:pPr>
            <w:r w:rsidRPr="001116C5">
              <w:rPr>
                <w:rFonts w:asciiTheme="minorHAnsi" w:hAnsiTheme="minorHAnsi" w:cstheme="minorHAnsi"/>
                <w:b/>
                <w:szCs w:val="22"/>
              </w:rPr>
              <w:t>2022.</w:t>
            </w:r>
          </w:p>
        </w:tc>
        <w:tc>
          <w:tcPr>
            <w:tcW w:w="278" w:type="dxa"/>
            <w:tcBorders>
              <w:left w:val="nil"/>
            </w:tcBorders>
            <w:shd w:val="clear" w:color="auto" w:fill="auto"/>
            <w:vAlign w:val="center"/>
          </w:tcPr>
          <w:p w14:paraId="73ECC114" w14:textId="77777777" w:rsidR="00E818F7" w:rsidRPr="001116C5" w:rsidRDefault="00E818F7" w:rsidP="0086616B">
            <w:pPr>
              <w:spacing w:before="120"/>
              <w:jc w:val="right"/>
              <w:rPr>
                <w:rFonts w:asciiTheme="minorHAnsi" w:hAnsiTheme="minorHAnsi" w:cstheme="minorHAnsi"/>
                <w:b/>
                <w:szCs w:val="22"/>
              </w:rPr>
            </w:pPr>
          </w:p>
        </w:tc>
        <w:tc>
          <w:tcPr>
            <w:tcW w:w="1902" w:type="dxa"/>
            <w:tcBorders>
              <w:bottom w:val="single" w:sz="2" w:space="0" w:color="auto"/>
            </w:tcBorders>
            <w:shd w:val="clear" w:color="auto" w:fill="auto"/>
            <w:vAlign w:val="center"/>
          </w:tcPr>
          <w:p w14:paraId="5CB81666" w14:textId="77777777" w:rsidR="00E818F7" w:rsidRPr="001116C5" w:rsidDel="00A06BB4" w:rsidRDefault="00E818F7" w:rsidP="0086616B">
            <w:pPr>
              <w:spacing w:before="120"/>
              <w:jc w:val="right"/>
              <w:rPr>
                <w:rFonts w:asciiTheme="minorHAnsi" w:hAnsiTheme="minorHAnsi" w:cstheme="minorHAnsi"/>
                <w:b/>
                <w:szCs w:val="22"/>
              </w:rPr>
            </w:pPr>
            <w:r w:rsidRPr="001116C5">
              <w:rPr>
                <w:rFonts w:asciiTheme="minorHAnsi" w:hAnsiTheme="minorHAnsi" w:cstheme="minorHAnsi"/>
                <w:b/>
                <w:szCs w:val="22"/>
              </w:rPr>
              <w:t>2023.</w:t>
            </w:r>
          </w:p>
        </w:tc>
      </w:tr>
      <w:tr w:rsidR="00E818F7" w:rsidRPr="001116C5" w14:paraId="5A830944" w14:textId="77777777" w:rsidTr="00E818F7">
        <w:trPr>
          <w:trHeight w:val="284"/>
        </w:trPr>
        <w:tc>
          <w:tcPr>
            <w:tcW w:w="5128" w:type="dxa"/>
            <w:shd w:val="clear" w:color="auto" w:fill="auto"/>
            <w:vAlign w:val="center"/>
          </w:tcPr>
          <w:p w14:paraId="40ADBDB1" w14:textId="77777777" w:rsidR="00E818F7" w:rsidRPr="001116C5" w:rsidRDefault="00E818F7" w:rsidP="0086616B">
            <w:pPr>
              <w:rPr>
                <w:rFonts w:asciiTheme="minorHAnsi" w:hAnsiTheme="minorHAnsi" w:cstheme="minorHAnsi"/>
                <w:szCs w:val="22"/>
              </w:rPr>
            </w:pPr>
            <w:r w:rsidRPr="001116C5">
              <w:rPr>
                <w:rFonts w:asciiTheme="minorHAnsi" w:hAnsiTheme="minorHAnsi" w:cstheme="minorHAnsi"/>
                <w:szCs w:val="22"/>
              </w:rPr>
              <w:t>Oprema</w:t>
            </w:r>
          </w:p>
        </w:tc>
        <w:tc>
          <w:tcPr>
            <w:tcW w:w="1943" w:type="dxa"/>
            <w:shd w:val="clear" w:color="auto" w:fill="auto"/>
            <w:vAlign w:val="center"/>
          </w:tcPr>
          <w:p w14:paraId="6452FD4D" w14:textId="77777777" w:rsidR="00E818F7" w:rsidRPr="001116C5" w:rsidRDefault="00E818F7" w:rsidP="0086616B">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rPr>
            </w:pPr>
            <w:r w:rsidRPr="001116C5">
              <w:rPr>
                <w:rFonts w:asciiTheme="minorHAnsi" w:hAnsiTheme="minorHAnsi" w:cstheme="minorHAnsi"/>
                <w:szCs w:val="22"/>
              </w:rPr>
              <w:t>20-50 %</w:t>
            </w:r>
          </w:p>
        </w:tc>
        <w:tc>
          <w:tcPr>
            <w:tcW w:w="278" w:type="dxa"/>
            <w:shd w:val="clear" w:color="auto" w:fill="auto"/>
            <w:vAlign w:val="center"/>
          </w:tcPr>
          <w:p w14:paraId="5ECC502F" w14:textId="77777777" w:rsidR="00E818F7" w:rsidRPr="001116C5" w:rsidRDefault="00E818F7" w:rsidP="0086616B">
            <w:pPr>
              <w:spacing w:before="120"/>
              <w:jc w:val="right"/>
              <w:rPr>
                <w:rFonts w:asciiTheme="minorHAnsi" w:hAnsiTheme="minorHAnsi" w:cstheme="minorHAnsi"/>
                <w:szCs w:val="22"/>
              </w:rPr>
            </w:pPr>
          </w:p>
        </w:tc>
        <w:tc>
          <w:tcPr>
            <w:tcW w:w="1902" w:type="dxa"/>
            <w:shd w:val="clear" w:color="auto" w:fill="auto"/>
            <w:vAlign w:val="center"/>
          </w:tcPr>
          <w:p w14:paraId="5F2CF36A" w14:textId="77777777" w:rsidR="00E818F7" w:rsidRPr="001116C5" w:rsidRDefault="00E818F7" w:rsidP="0086616B">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rPr>
            </w:pPr>
            <w:r w:rsidRPr="001116C5">
              <w:rPr>
                <w:rFonts w:asciiTheme="minorHAnsi" w:hAnsiTheme="minorHAnsi" w:cstheme="minorHAnsi"/>
                <w:szCs w:val="22"/>
              </w:rPr>
              <w:t>20-50 %</w:t>
            </w:r>
          </w:p>
        </w:tc>
      </w:tr>
      <w:tr w:rsidR="00E818F7" w:rsidRPr="001116C5" w14:paraId="16281003" w14:textId="77777777" w:rsidTr="00E818F7">
        <w:trPr>
          <w:trHeight w:val="284"/>
        </w:trPr>
        <w:tc>
          <w:tcPr>
            <w:tcW w:w="5128" w:type="dxa"/>
            <w:shd w:val="clear" w:color="auto" w:fill="auto"/>
            <w:vAlign w:val="center"/>
          </w:tcPr>
          <w:p w14:paraId="700754C9" w14:textId="77777777" w:rsidR="00E818F7" w:rsidRPr="001116C5" w:rsidRDefault="00E818F7" w:rsidP="0086616B">
            <w:pPr>
              <w:rPr>
                <w:rFonts w:asciiTheme="minorHAnsi" w:hAnsiTheme="minorHAnsi" w:cstheme="minorHAnsi"/>
                <w:szCs w:val="22"/>
              </w:rPr>
            </w:pPr>
            <w:r w:rsidRPr="001116C5">
              <w:rPr>
                <w:rFonts w:asciiTheme="minorHAnsi" w:hAnsiTheme="minorHAnsi" w:cstheme="minorHAnsi"/>
                <w:szCs w:val="22"/>
              </w:rPr>
              <w:t>Namještaj</w:t>
            </w:r>
          </w:p>
        </w:tc>
        <w:tc>
          <w:tcPr>
            <w:tcW w:w="1943" w:type="dxa"/>
            <w:shd w:val="clear" w:color="auto" w:fill="auto"/>
            <w:vAlign w:val="center"/>
          </w:tcPr>
          <w:p w14:paraId="644C901D" w14:textId="77777777" w:rsidR="00E818F7" w:rsidRPr="001116C5" w:rsidRDefault="00E818F7" w:rsidP="0086616B">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rPr>
            </w:pPr>
            <w:r w:rsidRPr="001116C5">
              <w:rPr>
                <w:rFonts w:asciiTheme="minorHAnsi" w:hAnsiTheme="minorHAnsi" w:cstheme="minorHAnsi"/>
                <w:szCs w:val="22"/>
              </w:rPr>
              <w:t>12,50 %</w:t>
            </w:r>
          </w:p>
        </w:tc>
        <w:tc>
          <w:tcPr>
            <w:tcW w:w="278" w:type="dxa"/>
            <w:shd w:val="clear" w:color="auto" w:fill="auto"/>
            <w:vAlign w:val="center"/>
          </w:tcPr>
          <w:p w14:paraId="6841945B" w14:textId="77777777" w:rsidR="00E818F7" w:rsidRPr="001116C5" w:rsidRDefault="00E818F7" w:rsidP="0086616B">
            <w:pPr>
              <w:spacing w:before="120"/>
              <w:jc w:val="right"/>
              <w:rPr>
                <w:rFonts w:asciiTheme="minorHAnsi" w:hAnsiTheme="minorHAnsi" w:cstheme="minorHAnsi"/>
                <w:szCs w:val="22"/>
              </w:rPr>
            </w:pPr>
          </w:p>
        </w:tc>
        <w:tc>
          <w:tcPr>
            <w:tcW w:w="1902" w:type="dxa"/>
            <w:shd w:val="clear" w:color="auto" w:fill="auto"/>
            <w:vAlign w:val="center"/>
          </w:tcPr>
          <w:p w14:paraId="36E54F82" w14:textId="77777777" w:rsidR="00E818F7" w:rsidRPr="001116C5" w:rsidRDefault="00E818F7" w:rsidP="0086616B">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rPr>
            </w:pPr>
            <w:r w:rsidRPr="001116C5">
              <w:rPr>
                <w:rFonts w:asciiTheme="minorHAnsi" w:hAnsiTheme="minorHAnsi" w:cstheme="minorHAnsi"/>
                <w:szCs w:val="22"/>
              </w:rPr>
              <w:t>12,50 %</w:t>
            </w:r>
          </w:p>
        </w:tc>
      </w:tr>
      <w:tr w:rsidR="00E818F7" w:rsidRPr="001116C5" w14:paraId="0D3D9CD4" w14:textId="77777777" w:rsidTr="00E818F7">
        <w:trPr>
          <w:trHeight w:val="284"/>
        </w:trPr>
        <w:tc>
          <w:tcPr>
            <w:tcW w:w="5128" w:type="dxa"/>
            <w:shd w:val="clear" w:color="auto" w:fill="auto"/>
            <w:vAlign w:val="center"/>
          </w:tcPr>
          <w:p w14:paraId="19FAF824" w14:textId="77777777" w:rsidR="00E818F7" w:rsidRPr="001116C5" w:rsidRDefault="00E818F7" w:rsidP="0086616B">
            <w:pPr>
              <w:rPr>
                <w:rFonts w:asciiTheme="minorHAnsi" w:hAnsiTheme="minorHAnsi" w:cstheme="minorHAnsi"/>
                <w:szCs w:val="22"/>
              </w:rPr>
            </w:pPr>
            <w:r w:rsidRPr="001116C5">
              <w:rPr>
                <w:rFonts w:asciiTheme="minorHAnsi" w:hAnsiTheme="minorHAnsi" w:cstheme="minorHAnsi"/>
                <w:szCs w:val="22"/>
              </w:rPr>
              <w:t>Nematerijalna proizvedena imovina</w:t>
            </w:r>
          </w:p>
        </w:tc>
        <w:tc>
          <w:tcPr>
            <w:tcW w:w="1943" w:type="dxa"/>
            <w:shd w:val="clear" w:color="auto" w:fill="auto"/>
            <w:vAlign w:val="center"/>
          </w:tcPr>
          <w:p w14:paraId="4C0E47A2" w14:textId="77777777" w:rsidR="00E818F7" w:rsidRPr="001116C5" w:rsidRDefault="00E818F7" w:rsidP="0086616B">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rPr>
            </w:pPr>
            <w:r w:rsidRPr="001116C5">
              <w:rPr>
                <w:rFonts w:asciiTheme="minorHAnsi" w:hAnsiTheme="minorHAnsi" w:cstheme="minorHAnsi"/>
                <w:szCs w:val="22"/>
              </w:rPr>
              <w:t>25 %</w:t>
            </w:r>
          </w:p>
        </w:tc>
        <w:tc>
          <w:tcPr>
            <w:tcW w:w="278" w:type="dxa"/>
            <w:shd w:val="clear" w:color="auto" w:fill="auto"/>
            <w:vAlign w:val="center"/>
          </w:tcPr>
          <w:p w14:paraId="5ADEE16D" w14:textId="77777777" w:rsidR="00E818F7" w:rsidRPr="001116C5" w:rsidRDefault="00E818F7" w:rsidP="0086616B">
            <w:pPr>
              <w:spacing w:before="120"/>
              <w:jc w:val="right"/>
              <w:rPr>
                <w:rFonts w:asciiTheme="minorHAnsi" w:hAnsiTheme="minorHAnsi" w:cstheme="minorHAnsi"/>
                <w:szCs w:val="22"/>
              </w:rPr>
            </w:pPr>
          </w:p>
        </w:tc>
        <w:tc>
          <w:tcPr>
            <w:tcW w:w="1902" w:type="dxa"/>
            <w:shd w:val="clear" w:color="auto" w:fill="auto"/>
            <w:vAlign w:val="center"/>
          </w:tcPr>
          <w:p w14:paraId="337AE8B1" w14:textId="77777777" w:rsidR="00E818F7" w:rsidRPr="001116C5" w:rsidRDefault="00E818F7" w:rsidP="0086616B">
            <w:pPr>
              <w:widowControl w:val="0"/>
              <w:tabs>
                <w:tab w:val="left" w:pos="-1440"/>
                <w:tab w:val="left" w:pos="-720"/>
                <w:tab w:val="left" w:pos="0"/>
                <w:tab w:val="left" w:pos="427"/>
                <w:tab w:val="decimal" w:pos="4410"/>
                <w:tab w:val="decimal" w:pos="6390"/>
                <w:tab w:val="decimal" w:pos="7728"/>
              </w:tabs>
              <w:jc w:val="right"/>
              <w:rPr>
                <w:rFonts w:asciiTheme="minorHAnsi" w:hAnsiTheme="minorHAnsi" w:cstheme="minorHAnsi"/>
                <w:szCs w:val="22"/>
              </w:rPr>
            </w:pPr>
            <w:r w:rsidRPr="001116C5">
              <w:rPr>
                <w:rFonts w:asciiTheme="minorHAnsi" w:hAnsiTheme="minorHAnsi" w:cstheme="minorHAnsi"/>
                <w:szCs w:val="22"/>
              </w:rPr>
              <w:t>25 %</w:t>
            </w:r>
          </w:p>
        </w:tc>
      </w:tr>
    </w:tbl>
    <w:p w14:paraId="0FB63248" w14:textId="77777777" w:rsidR="00E818F7" w:rsidRPr="001116C5" w:rsidRDefault="00E818F7" w:rsidP="00E818F7">
      <w:pPr>
        <w:pStyle w:val="NoSpacing"/>
        <w:rPr>
          <w:rFonts w:asciiTheme="minorHAnsi" w:hAnsiTheme="minorHAnsi" w:cstheme="minorHAnsi"/>
          <w:sz w:val="22"/>
          <w:szCs w:val="22"/>
        </w:rPr>
      </w:pPr>
    </w:p>
    <w:p w14:paraId="5BB3AFA6"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Vrijednosti knjiga, umjetničkih djela i ostalih izložbenih vrijednosti te plemenitih metala i ostalih pohranjenih vrijednosti ne amortiziraju se, odnosno ne ispravljaju se. </w:t>
      </w:r>
    </w:p>
    <w:p w14:paraId="176655B0" w14:textId="77777777" w:rsidR="00E818F7" w:rsidRPr="001116C5" w:rsidRDefault="00E818F7" w:rsidP="00E818F7">
      <w:pPr>
        <w:pStyle w:val="NoSpacing"/>
        <w:rPr>
          <w:rFonts w:asciiTheme="minorHAnsi" w:hAnsiTheme="minorHAnsi" w:cstheme="minorHAnsi"/>
          <w:sz w:val="22"/>
          <w:szCs w:val="22"/>
        </w:rPr>
      </w:pPr>
    </w:p>
    <w:p w14:paraId="4BF2075F"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Dugotrajna imovina se revalorizira primjenom koeficijenta porasta cijena proizvođača industrijskih proizvoda ako je inflacija mjerena istim koeficijentom u prethodne tri godine kumulativno veća od 30%. </w:t>
      </w:r>
    </w:p>
    <w:p w14:paraId="1F119776" w14:textId="77777777" w:rsidR="00E818F7" w:rsidRPr="001116C5" w:rsidRDefault="00E818F7" w:rsidP="00E818F7">
      <w:pPr>
        <w:pStyle w:val="NoSpacing"/>
        <w:rPr>
          <w:rFonts w:asciiTheme="minorHAnsi" w:hAnsiTheme="minorHAnsi" w:cstheme="minorHAnsi"/>
          <w:sz w:val="22"/>
          <w:szCs w:val="22"/>
        </w:rPr>
      </w:pPr>
    </w:p>
    <w:p w14:paraId="00EC5C71" w14:textId="77777777" w:rsidR="00E818F7" w:rsidRPr="001116C5" w:rsidRDefault="00E818F7" w:rsidP="00E818F7">
      <w:p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Učinak revalorizacije dugotrajne imovine pripisuje se vlastitim izvorima.</w:t>
      </w:r>
    </w:p>
    <w:p w14:paraId="39685798"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pt-PT"/>
        </w:rPr>
      </w:pPr>
    </w:p>
    <w:p w14:paraId="72F53DF6" w14:textId="1609FDBA" w:rsidR="00E818F7" w:rsidRPr="001116C5" w:rsidRDefault="00E818F7" w:rsidP="001116C5">
      <w:pPr>
        <w:jc w:val="left"/>
        <w:rPr>
          <w:rFonts w:asciiTheme="minorHAnsi" w:hAnsiTheme="minorHAnsi" w:cstheme="minorHAnsi"/>
          <w:b/>
          <w:szCs w:val="22"/>
          <w:lang w:val="pt-PT"/>
        </w:rPr>
      </w:pPr>
      <w:r w:rsidRPr="001116C5">
        <w:rPr>
          <w:rFonts w:asciiTheme="minorHAnsi" w:hAnsiTheme="minorHAnsi" w:cstheme="minorHAnsi"/>
          <w:b/>
          <w:szCs w:val="22"/>
          <w:lang w:val="pt-PT"/>
        </w:rPr>
        <w:t xml:space="preserve">Potraživanja za prihode </w:t>
      </w:r>
    </w:p>
    <w:p w14:paraId="4556FBDB"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pt-PT"/>
        </w:rPr>
      </w:pPr>
    </w:p>
    <w:p w14:paraId="3508D335" w14:textId="77777777" w:rsidR="00E818F7" w:rsidRPr="001116C5" w:rsidRDefault="00E818F7" w:rsidP="00E818F7">
      <w:pPr>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Potraživanja za prihode, uključuju potraživanja: od kupaca, za članarine i članske doprinose, za prihode po posebnim propisima, za prihode od imovine, te ostala nespomenuta potraživanja, a iskazuju se u nominalnom iznosu usklađenom za procijenjene nenadoknadive iznose. </w:t>
      </w:r>
    </w:p>
    <w:p w14:paraId="2E9B5925" w14:textId="77777777" w:rsidR="00E818F7" w:rsidRPr="001116C5" w:rsidRDefault="00E818F7" w:rsidP="00E818F7">
      <w:pPr>
        <w:pStyle w:val="NoSpacing"/>
        <w:rPr>
          <w:rFonts w:asciiTheme="minorHAnsi" w:hAnsiTheme="minorHAnsi" w:cstheme="minorHAnsi"/>
          <w:sz w:val="22"/>
          <w:szCs w:val="22"/>
        </w:rPr>
      </w:pPr>
    </w:p>
    <w:p w14:paraId="18B79F75"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hr-HR"/>
        </w:rPr>
      </w:pPr>
      <w:r w:rsidRPr="001116C5">
        <w:rPr>
          <w:rFonts w:asciiTheme="minorHAnsi" w:hAnsiTheme="minorHAnsi" w:cstheme="minorHAnsi"/>
          <w:b/>
          <w:szCs w:val="22"/>
          <w:lang w:val="hr-HR"/>
        </w:rPr>
        <w:t>Obveze za rashode</w:t>
      </w:r>
    </w:p>
    <w:p w14:paraId="576D1C20"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lang w:val="hr-HR"/>
        </w:rPr>
      </w:pPr>
    </w:p>
    <w:p w14:paraId="0FDCE28D"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Obveze za rashode, sadrže obveze koje se u trenutku nastanka priznaju kao rashod, a to su obveze za: radnike, materijalne rashode, financijske rashode, prikupljena sredstva pomoći, kazne i naknade šteta te ostale tekuće obveze.</w:t>
      </w:r>
    </w:p>
    <w:p w14:paraId="27EBF66B" w14:textId="77777777" w:rsidR="00E818F7" w:rsidRPr="001116C5" w:rsidRDefault="00E818F7" w:rsidP="00E818F7">
      <w:pPr>
        <w:pStyle w:val="NoSpacing"/>
        <w:rPr>
          <w:rFonts w:asciiTheme="minorHAnsi" w:hAnsiTheme="minorHAnsi" w:cstheme="minorHAnsi"/>
          <w:sz w:val="22"/>
          <w:szCs w:val="22"/>
        </w:rPr>
      </w:pPr>
    </w:p>
    <w:p w14:paraId="22592D61"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Obveze za prikupljena sredstva pomoći (područjima pogođenim prirodnim katastrofama, skupinama stanovništva s posebnim potrebama, institucijama za nabavu medicinske opreme i slično) evidentiraju se u trenutku primitka novca ili druge vrste imovine. Kada neprofitna organizacija prikupljena sredstva pomoći proslijedi krajnjim korisnicima priznaju se rashodi za danu donaciju i prihodi od donacija.</w:t>
      </w:r>
    </w:p>
    <w:p w14:paraId="522EB928" w14:textId="77777777" w:rsidR="00E818F7" w:rsidRPr="001116C5" w:rsidRDefault="00E818F7" w:rsidP="00E818F7">
      <w:pPr>
        <w:pStyle w:val="NoSpacing"/>
        <w:rPr>
          <w:rFonts w:asciiTheme="minorHAnsi" w:hAnsiTheme="minorHAnsi" w:cstheme="minorHAnsi"/>
          <w:sz w:val="22"/>
          <w:szCs w:val="22"/>
        </w:rPr>
      </w:pPr>
    </w:p>
    <w:p w14:paraId="133354C8"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ind w:left="1080"/>
        <w:rPr>
          <w:rFonts w:asciiTheme="minorHAnsi" w:hAnsiTheme="minorHAnsi" w:cstheme="minorHAnsi"/>
          <w:b/>
          <w:szCs w:val="22"/>
          <w:highlight w:val="yellow"/>
          <w:lang w:val="hr-HR"/>
        </w:rPr>
      </w:pPr>
    </w:p>
    <w:p w14:paraId="3348341B"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rPr>
      </w:pPr>
      <w:r w:rsidRPr="001116C5">
        <w:rPr>
          <w:rFonts w:asciiTheme="minorHAnsi" w:hAnsiTheme="minorHAnsi" w:cstheme="minorHAnsi"/>
          <w:b/>
          <w:szCs w:val="22"/>
        </w:rPr>
        <w:t xml:space="preserve">3. </w:t>
      </w:r>
      <w:r w:rsidRPr="001116C5">
        <w:rPr>
          <w:rFonts w:asciiTheme="minorHAnsi" w:hAnsiTheme="minorHAnsi" w:cstheme="minorHAnsi"/>
          <w:b/>
          <w:szCs w:val="22"/>
        </w:rPr>
        <w:tab/>
        <w:t>PRIHODI OD DONACIJA</w:t>
      </w:r>
    </w:p>
    <w:p w14:paraId="7403B32B" w14:textId="77777777" w:rsidR="00E818F7" w:rsidRPr="001116C5" w:rsidRDefault="00E818F7" w:rsidP="00E818F7">
      <w:pPr>
        <w:pStyle w:val="NoSpacing"/>
        <w:rPr>
          <w:rFonts w:asciiTheme="minorHAnsi" w:hAnsiTheme="minorHAnsi" w:cstheme="minorHAnsi"/>
          <w:sz w:val="22"/>
          <w:szCs w:val="22"/>
        </w:rPr>
      </w:pPr>
    </w:p>
    <w:tbl>
      <w:tblPr>
        <w:tblW w:w="9072" w:type="dxa"/>
        <w:tblInd w:w="108" w:type="dxa"/>
        <w:tblLook w:val="04A0" w:firstRow="1" w:lastRow="0" w:firstColumn="1" w:lastColumn="0" w:noHBand="0" w:noVBand="1"/>
      </w:tblPr>
      <w:tblGrid>
        <w:gridCol w:w="2120"/>
        <w:gridCol w:w="1040"/>
        <w:gridCol w:w="222"/>
        <w:gridCol w:w="1296"/>
        <w:gridCol w:w="284"/>
        <w:gridCol w:w="1134"/>
        <w:gridCol w:w="283"/>
        <w:gridCol w:w="1276"/>
        <w:gridCol w:w="283"/>
        <w:gridCol w:w="1134"/>
      </w:tblGrid>
      <w:tr w:rsidR="00E818F7" w:rsidRPr="001116C5" w14:paraId="26CE5FC3" w14:textId="77777777" w:rsidTr="0086616B">
        <w:trPr>
          <w:trHeight w:val="284"/>
        </w:trPr>
        <w:tc>
          <w:tcPr>
            <w:tcW w:w="2120" w:type="dxa"/>
            <w:tcBorders>
              <w:top w:val="nil"/>
              <w:left w:val="nil"/>
              <w:bottom w:val="nil"/>
              <w:right w:val="nil"/>
            </w:tcBorders>
            <w:shd w:val="clear" w:color="auto" w:fill="auto"/>
            <w:noWrap/>
            <w:vAlign w:val="center"/>
            <w:hideMark/>
          </w:tcPr>
          <w:p w14:paraId="4CFD5DC6" w14:textId="77777777" w:rsidR="00E818F7" w:rsidRPr="001116C5" w:rsidRDefault="00E818F7" w:rsidP="0086616B">
            <w:pPr>
              <w:rPr>
                <w:rFonts w:asciiTheme="minorHAnsi" w:hAnsiTheme="minorHAnsi" w:cstheme="minorHAnsi"/>
                <w:szCs w:val="22"/>
              </w:rPr>
            </w:pPr>
          </w:p>
        </w:tc>
        <w:tc>
          <w:tcPr>
            <w:tcW w:w="1040" w:type="dxa"/>
            <w:tcBorders>
              <w:top w:val="nil"/>
              <w:left w:val="nil"/>
              <w:bottom w:val="nil"/>
              <w:right w:val="nil"/>
            </w:tcBorders>
            <w:shd w:val="clear" w:color="auto" w:fill="auto"/>
            <w:noWrap/>
            <w:vAlign w:val="center"/>
            <w:hideMark/>
          </w:tcPr>
          <w:p w14:paraId="2F035729" w14:textId="77777777" w:rsidR="00E818F7" w:rsidRPr="001116C5" w:rsidRDefault="00E818F7" w:rsidP="0086616B">
            <w:pPr>
              <w:rPr>
                <w:rFonts w:asciiTheme="minorHAnsi" w:hAnsiTheme="minorHAnsi" w:cstheme="minorHAnsi"/>
                <w:szCs w:val="22"/>
              </w:rPr>
            </w:pPr>
          </w:p>
        </w:tc>
        <w:tc>
          <w:tcPr>
            <w:tcW w:w="222" w:type="dxa"/>
            <w:tcBorders>
              <w:top w:val="nil"/>
              <w:left w:val="nil"/>
              <w:bottom w:val="nil"/>
              <w:right w:val="nil"/>
            </w:tcBorders>
            <w:shd w:val="clear" w:color="auto" w:fill="auto"/>
            <w:noWrap/>
            <w:vAlign w:val="center"/>
            <w:hideMark/>
          </w:tcPr>
          <w:p w14:paraId="2E339EC1" w14:textId="77777777" w:rsidR="00E818F7" w:rsidRPr="001116C5" w:rsidRDefault="00E818F7" w:rsidP="0086616B">
            <w:pPr>
              <w:rPr>
                <w:rFonts w:asciiTheme="minorHAnsi" w:hAnsiTheme="minorHAnsi" w:cstheme="minorHAnsi"/>
                <w:szCs w:val="22"/>
              </w:rPr>
            </w:pPr>
          </w:p>
        </w:tc>
        <w:tc>
          <w:tcPr>
            <w:tcW w:w="1296" w:type="dxa"/>
            <w:tcBorders>
              <w:top w:val="nil"/>
              <w:left w:val="nil"/>
              <w:bottom w:val="single" w:sz="12" w:space="0" w:color="auto"/>
              <w:right w:val="nil"/>
            </w:tcBorders>
            <w:shd w:val="clear" w:color="auto" w:fill="auto"/>
            <w:noWrap/>
            <w:vAlign w:val="center"/>
          </w:tcPr>
          <w:p w14:paraId="0D5E2A4F"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2022.</w:t>
            </w:r>
          </w:p>
        </w:tc>
        <w:tc>
          <w:tcPr>
            <w:tcW w:w="284" w:type="dxa"/>
            <w:tcBorders>
              <w:top w:val="nil"/>
              <w:left w:val="nil"/>
              <w:bottom w:val="nil"/>
              <w:right w:val="nil"/>
            </w:tcBorders>
            <w:shd w:val="clear" w:color="auto" w:fill="auto"/>
            <w:noWrap/>
            <w:vAlign w:val="center"/>
          </w:tcPr>
          <w:p w14:paraId="7089C428" w14:textId="77777777" w:rsidR="00E818F7" w:rsidRPr="001116C5" w:rsidRDefault="00E818F7" w:rsidP="0086616B">
            <w:pPr>
              <w:rPr>
                <w:rFonts w:asciiTheme="minorHAnsi" w:hAnsiTheme="minorHAnsi" w:cstheme="minorHAnsi"/>
                <w:color w:val="000000"/>
                <w:szCs w:val="22"/>
              </w:rPr>
            </w:pPr>
          </w:p>
        </w:tc>
        <w:tc>
          <w:tcPr>
            <w:tcW w:w="1134" w:type="dxa"/>
            <w:tcBorders>
              <w:top w:val="nil"/>
              <w:left w:val="nil"/>
              <w:bottom w:val="single" w:sz="12" w:space="0" w:color="auto"/>
              <w:right w:val="nil"/>
            </w:tcBorders>
            <w:shd w:val="clear" w:color="auto" w:fill="auto"/>
            <w:noWrap/>
            <w:vAlign w:val="center"/>
          </w:tcPr>
          <w:p w14:paraId="703719DB"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2023.</w:t>
            </w:r>
          </w:p>
        </w:tc>
        <w:tc>
          <w:tcPr>
            <w:tcW w:w="283" w:type="dxa"/>
            <w:tcBorders>
              <w:top w:val="nil"/>
              <w:left w:val="nil"/>
              <w:bottom w:val="nil"/>
              <w:right w:val="nil"/>
            </w:tcBorders>
            <w:shd w:val="clear" w:color="auto" w:fill="auto"/>
            <w:noWrap/>
            <w:vAlign w:val="center"/>
          </w:tcPr>
          <w:p w14:paraId="0CE7D2FC" w14:textId="77777777" w:rsidR="00E818F7" w:rsidRPr="001116C5" w:rsidRDefault="00E818F7" w:rsidP="0086616B">
            <w:pPr>
              <w:rPr>
                <w:rFonts w:asciiTheme="minorHAnsi" w:hAnsiTheme="minorHAnsi" w:cstheme="minorHAnsi"/>
                <w:color w:val="000000"/>
                <w:szCs w:val="22"/>
              </w:rPr>
            </w:pPr>
          </w:p>
        </w:tc>
        <w:tc>
          <w:tcPr>
            <w:tcW w:w="1276" w:type="dxa"/>
            <w:tcBorders>
              <w:top w:val="nil"/>
              <w:left w:val="nil"/>
              <w:bottom w:val="single" w:sz="12" w:space="0" w:color="auto"/>
              <w:right w:val="nil"/>
            </w:tcBorders>
            <w:shd w:val="clear" w:color="auto" w:fill="auto"/>
            <w:noWrap/>
            <w:vAlign w:val="center"/>
          </w:tcPr>
          <w:p w14:paraId="3495BABB"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Razlika</w:t>
            </w:r>
          </w:p>
        </w:tc>
        <w:tc>
          <w:tcPr>
            <w:tcW w:w="283" w:type="dxa"/>
            <w:tcBorders>
              <w:top w:val="nil"/>
              <w:left w:val="nil"/>
              <w:bottom w:val="nil"/>
              <w:right w:val="nil"/>
            </w:tcBorders>
            <w:shd w:val="clear" w:color="auto" w:fill="auto"/>
            <w:noWrap/>
            <w:vAlign w:val="center"/>
          </w:tcPr>
          <w:p w14:paraId="6F295FB6" w14:textId="77777777" w:rsidR="00E818F7" w:rsidRPr="001116C5" w:rsidRDefault="00E818F7" w:rsidP="0086616B">
            <w:pPr>
              <w:rPr>
                <w:rFonts w:asciiTheme="minorHAnsi" w:hAnsiTheme="minorHAnsi" w:cstheme="minorHAnsi"/>
                <w:color w:val="000000"/>
                <w:szCs w:val="22"/>
              </w:rPr>
            </w:pPr>
          </w:p>
        </w:tc>
        <w:tc>
          <w:tcPr>
            <w:tcW w:w="1134" w:type="dxa"/>
            <w:tcBorders>
              <w:top w:val="nil"/>
              <w:left w:val="nil"/>
              <w:bottom w:val="single" w:sz="12" w:space="0" w:color="auto"/>
              <w:right w:val="nil"/>
            </w:tcBorders>
            <w:shd w:val="clear" w:color="auto" w:fill="auto"/>
            <w:noWrap/>
            <w:vAlign w:val="center"/>
          </w:tcPr>
          <w:p w14:paraId="2149C9C5"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Index</w:t>
            </w:r>
          </w:p>
        </w:tc>
      </w:tr>
      <w:tr w:rsidR="00E818F7" w:rsidRPr="001116C5" w14:paraId="4FC43414" w14:textId="77777777" w:rsidTr="0086616B">
        <w:trPr>
          <w:trHeight w:val="284"/>
        </w:trPr>
        <w:tc>
          <w:tcPr>
            <w:tcW w:w="2120" w:type="dxa"/>
            <w:tcBorders>
              <w:top w:val="nil"/>
              <w:left w:val="nil"/>
              <w:bottom w:val="nil"/>
              <w:right w:val="nil"/>
            </w:tcBorders>
            <w:shd w:val="clear" w:color="auto" w:fill="auto"/>
            <w:vAlign w:val="center"/>
            <w:hideMark/>
          </w:tcPr>
          <w:p w14:paraId="563C8378"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Prihodi od donacija iz državnog proračuna</w:t>
            </w:r>
          </w:p>
        </w:tc>
        <w:tc>
          <w:tcPr>
            <w:tcW w:w="1040" w:type="dxa"/>
            <w:tcBorders>
              <w:top w:val="nil"/>
              <w:left w:val="nil"/>
              <w:bottom w:val="nil"/>
              <w:right w:val="nil"/>
            </w:tcBorders>
            <w:shd w:val="clear" w:color="auto" w:fill="auto"/>
            <w:noWrap/>
            <w:vAlign w:val="center"/>
            <w:hideMark/>
          </w:tcPr>
          <w:p w14:paraId="6A8C854F"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AOP 026</w:t>
            </w:r>
          </w:p>
        </w:tc>
        <w:tc>
          <w:tcPr>
            <w:tcW w:w="222" w:type="dxa"/>
            <w:tcBorders>
              <w:top w:val="nil"/>
              <w:left w:val="nil"/>
              <w:bottom w:val="nil"/>
              <w:right w:val="nil"/>
            </w:tcBorders>
            <w:shd w:val="clear" w:color="auto" w:fill="auto"/>
            <w:noWrap/>
            <w:vAlign w:val="center"/>
            <w:hideMark/>
          </w:tcPr>
          <w:p w14:paraId="2BE30510" w14:textId="77777777" w:rsidR="00E818F7" w:rsidRPr="001116C5" w:rsidRDefault="00E818F7" w:rsidP="0086616B">
            <w:pPr>
              <w:rPr>
                <w:rFonts w:asciiTheme="minorHAnsi" w:hAnsiTheme="minorHAnsi" w:cstheme="minorHAnsi"/>
                <w:color w:val="000000"/>
                <w:szCs w:val="22"/>
              </w:rPr>
            </w:pPr>
          </w:p>
        </w:tc>
        <w:tc>
          <w:tcPr>
            <w:tcW w:w="1296" w:type="dxa"/>
            <w:tcBorders>
              <w:top w:val="nil"/>
              <w:left w:val="nil"/>
              <w:bottom w:val="nil"/>
              <w:right w:val="nil"/>
            </w:tcBorders>
            <w:shd w:val="clear" w:color="auto" w:fill="auto"/>
            <w:noWrap/>
            <w:vAlign w:val="center"/>
          </w:tcPr>
          <w:p w14:paraId="3F45F6B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26.545</w:t>
            </w:r>
          </w:p>
        </w:tc>
        <w:tc>
          <w:tcPr>
            <w:tcW w:w="284" w:type="dxa"/>
            <w:tcBorders>
              <w:top w:val="nil"/>
              <w:left w:val="nil"/>
              <w:bottom w:val="nil"/>
              <w:right w:val="nil"/>
            </w:tcBorders>
            <w:shd w:val="clear" w:color="auto" w:fill="auto"/>
            <w:noWrap/>
            <w:vAlign w:val="center"/>
          </w:tcPr>
          <w:p w14:paraId="7A171515"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nil"/>
              <w:right w:val="nil"/>
            </w:tcBorders>
            <w:shd w:val="clear" w:color="auto" w:fill="auto"/>
            <w:noWrap/>
            <w:vAlign w:val="center"/>
          </w:tcPr>
          <w:p w14:paraId="6290CCD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26.546</w:t>
            </w:r>
          </w:p>
        </w:tc>
        <w:tc>
          <w:tcPr>
            <w:tcW w:w="283" w:type="dxa"/>
            <w:tcBorders>
              <w:top w:val="nil"/>
              <w:left w:val="nil"/>
              <w:bottom w:val="nil"/>
              <w:right w:val="nil"/>
            </w:tcBorders>
            <w:shd w:val="clear" w:color="auto" w:fill="auto"/>
            <w:noWrap/>
            <w:vAlign w:val="center"/>
          </w:tcPr>
          <w:p w14:paraId="680EA0C7" w14:textId="77777777" w:rsidR="00E818F7" w:rsidRPr="001116C5" w:rsidRDefault="00E818F7" w:rsidP="0086616B">
            <w:pPr>
              <w:jc w:val="right"/>
              <w:rPr>
                <w:rFonts w:asciiTheme="minorHAnsi" w:hAnsiTheme="minorHAnsi" w:cstheme="minorHAnsi"/>
                <w:color w:val="000000"/>
                <w:szCs w:val="22"/>
              </w:rPr>
            </w:pPr>
          </w:p>
        </w:tc>
        <w:tc>
          <w:tcPr>
            <w:tcW w:w="1276" w:type="dxa"/>
            <w:tcBorders>
              <w:top w:val="nil"/>
              <w:left w:val="nil"/>
              <w:bottom w:val="nil"/>
              <w:right w:val="nil"/>
            </w:tcBorders>
            <w:shd w:val="clear" w:color="auto" w:fill="auto"/>
            <w:noWrap/>
            <w:vAlign w:val="center"/>
          </w:tcPr>
          <w:p w14:paraId="143AE23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w:t>
            </w:r>
          </w:p>
        </w:tc>
        <w:tc>
          <w:tcPr>
            <w:tcW w:w="283" w:type="dxa"/>
            <w:tcBorders>
              <w:top w:val="nil"/>
              <w:left w:val="nil"/>
              <w:bottom w:val="nil"/>
              <w:right w:val="nil"/>
            </w:tcBorders>
            <w:shd w:val="clear" w:color="auto" w:fill="auto"/>
            <w:noWrap/>
            <w:vAlign w:val="center"/>
          </w:tcPr>
          <w:p w14:paraId="3205FFE0"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nil"/>
              <w:right w:val="nil"/>
            </w:tcBorders>
            <w:shd w:val="clear" w:color="auto" w:fill="auto"/>
            <w:noWrap/>
            <w:vAlign w:val="center"/>
          </w:tcPr>
          <w:p w14:paraId="2B35F351"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100,0</w:t>
            </w:r>
          </w:p>
        </w:tc>
      </w:tr>
      <w:tr w:rsidR="00E818F7" w:rsidRPr="001116C5" w14:paraId="0E9BB805" w14:textId="77777777" w:rsidTr="0086616B">
        <w:trPr>
          <w:trHeight w:val="284"/>
        </w:trPr>
        <w:tc>
          <w:tcPr>
            <w:tcW w:w="2120" w:type="dxa"/>
            <w:tcBorders>
              <w:top w:val="nil"/>
              <w:left w:val="nil"/>
              <w:bottom w:val="nil"/>
              <w:right w:val="nil"/>
            </w:tcBorders>
            <w:shd w:val="clear" w:color="auto" w:fill="auto"/>
            <w:vAlign w:val="center"/>
            <w:hideMark/>
          </w:tcPr>
          <w:p w14:paraId="350ED24F" w14:textId="77777777" w:rsidR="00E818F7" w:rsidRPr="001116C5" w:rsidRDefault="00E818F7" w:rsidP="0086616B">
            <w:pPr>
              <w:rPr>
                <w:rFonts w:asciiTheme="minorHAnsi" w:hAnsiTheme="minorHAnsi" w:cstheme="minorHAnsi"/>
                <w:color w:val="000000"/>
                <w:szCs w:val="22"/>
                <w:lang w:val="pt-PT"/>
              </w:rPr>
            </w:pPr>
            <w:r w:rsidRPr="001116C5">
              <w:rPr>
                <w:rFonts w:asciiTheme="minorHAnsi" w:hAnsiTheme="minorHAnsi" w:cstheme="minorHAnsi"/>
                <w:color w:val="000000"/>
                <w:szCs w:val="22"/>
                <w:lang w:val="pt-PT"/>
              </w:rPr>
              <w:t>Prihodi od inozemnih vlada i međunarodnih organizacija</w:t>
            </w:r>
          </w:p>
        </w:tc>
        <w:tc>
          <w:tcPr>
            <w:tcW w:w="1040" w:type="dxa"/>
            <w:tcBorders>
              <w:top w:val="nil"/>
              <w:left w:val="nil"/>
              <w:bottom w:val="nil"/>
              <w:right w:val="nil"/>
            </w:tcBorders>
            <w:shd w:val="clear" w:color="auto" w:fill="auto"/>
            <w:noWrap/>
            <w:vAlign w:val="center"/>
            <w:hideMark/>
          </w:tcPr>
          <w:p w14:paraId="14A701E2"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AOP 031</w:t>
            </w:r>
          </w:p>
        </w:tc>
        <w:tc>
          <w:tcPr>
            <w:tcW w:w="222" w:type="dxa"/>
            <w:tcBorders>
              <w:top w:val="nil"/>
              <w:left w:val="nil"/>
              <w:bottom w:val="nil"/>
              <w:right w:val="nil"/>
            </w:tcBorders>
            <w:shd w:val="clear" w:color="auto" w:fill="auto"/>
            <w:noWrap/>
            <w:vAlign w:val="center"/>
            <w:hideMark/>
          </w:tcPr>
          <w:p w14:paraId="66000521" w14:textId="77777777" w:rsidR="00E818F7" w:rsidRPr="001116C5" w:rsidRDefault="00E818F7" w:rsidP="0086616B">
            <w:pPr>
              <w:rPr>
                <w:rFonts w:asciiTheme="minorHAnsi" w:hAnsiTheme="minorHAnsi" w:cstheme="minorHAnsi"/>
                <w:color w:val="000000"/>
                <w:szCs w:val="22"/>
              </w:rPr>
            </w:pPr>
          </w:p>
        </w:tc>
        <w:tc>
          <w:tcPr>
            <w:tcW w:w="1296" w:type="dxa"/>
            <w:tcBorders>
              <w:top w:val="nil"/>
              <w:left w:val="nil"/>
              <w:bottom w:val="nil"/>
              <w:right w:val="nil"/>
            </w:tcBorders>
            <w:shd w:val="clear" w:color="auto" w:fill="auto"/>
            <w:noWrap/>
            <w:vAlign w:val="center"/>
          </w:tcPr>
          <w:p w14:paraId="29D1AE8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750.815</w:t>
            </w:r>
          </w:p>
        </w:tc>
        <w:tc>
          <w:tcPr>
            <w:tcW w:w="284" w:type="dxa"/>
            <w:tcBorders>
              <w:top w:val="nil"/>
              <w:left w:val="nil"/>
              <w:bottom w:val="nil"/>
              <w:right w:val="nil"/>
            </w:tcBorders>
            <w:shd w:val="clear" w:color="auto" w:fill="auto"/>
            <w:noWrap/>
            <w:vAlign w:val="center"/>
          </w:tcPr>
          <w:p w14:paraId="6C20A42A"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nil"/>
              <w:right w:val="nil"/>
            </w:tcBorders>
            <w:shd w:val="clear" w:color="auto" w:fill="auto"/>
            <w:noWrap/>
            <w:vAlign w:val="center"/>
          </w:tcPr>
          <w:p w14:paraId="3B46D18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1.381.849</w:t>
            </w:r>
          </w:p>
        </w:tc>
        <w:tc>
          <w:tcPr>
            <w:tcW w:w="283" w:type="dxa"/>
            <w:tcBorders>
              <w:top w:val="nil"/>
              <w:left w:val="nil"/>
              <w:bottom w:val="nil"/>
              <w:right w:val="nil"/>
            </w:tcBorders>
            <w:shd w:val="clear" w:color="auto" w:fill="auto"/>
            <w:noWrap/>
            <w:vAlign w:val="center"/>
          </w:tcPr>
          <w:p w14:paraId="26E0DBAC" w14:textId="77777777" w:rsidR="00E818F7" w:rsidRPr="001116C5" w:rsidRDefault="00E818F7" w:rsidP="0086616B">
            <w:pPr>
              <w:jc w:val="right"/>
              <w:rPr>
                <w:rFonts w:asciiTheme="minorHAnsi" w:hAnsiTheme="minorHAnsi" w:cstheme="minorHAnsi"/>
                <w:color w:val="000000"/>
                <w:szCs w:val="22"/>
              </w:rPr>
            </w:pPr>
          </w:p>
        </w:tc>
        <w:tc>
          <w:tcPr>
            <w:tcW w:w="1276" w:type="dxa"/>
            <w:tcBorders>
              <w:top w:val="nil"/>
              <w:left w:val="nil"/>
              <w:bottom w:val="nil"/>
              <w:right w:val="nil"/>
            </w:tcBorders>
            <w:shd w:val="clear" w:color="auto" w:fill="auto"/>
            <w:noWrap/>
            <w:vAlign w:val="center"/>
          </w:tcPr>
          <w:p w14:paraId="1B580EBB"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631.034</w:t>
            </w:r>
          </w:p>
        </w:tc>
        <w:tc>
          <w:tcPr>
            <w:tcW w:w="283" w:type="dxa"/>
            <w:tcBorders>
              <w:top w:val="nil"/>
              <w:left w:val="nil"/>
              <w:bottom w:val="nil"/>
              <w:right w:val="nil"/>
            </w:tcBorders>
            <w:shd w:val="clear" w:color="auto" w:fill="auto"/>
            <w:noWrap/>
            <w:vAlign w:val="center"/>
          </w:tcPr>
          <w:p w14:paraId="1C39ED15"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nil"/>
              <w:right w:val="nil"/>
            </w:tcBorders>
            <w:shd w:val="clear" w:color="auto" w:fill="auto"/>
            <w:noWrap/>
            <w:vAlign w:val="center"/>
          </w:tcPr>
          <w:p w14:paraId="75490D9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184,0</w:t>
            </w:r>
          </w:p>
        </w:tc>
      </w:tr>
      <w:tr w:rsidR="00E818F7" w:rsidRPr="001116C5" w14:paraId="65966DA8" w14:textId="77777777" w:rsidTr="0086616B">
        <w:trPr>
          <w:trHeight w:val="284"/>
        </w:trPr>
        <w:tc>
          <w:tcPr>
            <w:tcW w:w="2120" w:type="dxa"/>
            <w:tcBorders>
              <w:top w:val="nil"/>
              <w:left w:val="nil"/>
              <w:bottom w:val="nil"/>
              <w:right w:val="nil"/>
            </w:tcBorders>
            <w:shd w:val="clear" w:color="auto" w:fill="auto"/>
            <w:vAlign w:val="center"/>
          </w:tcPr>
          <w:p w14:paraId="06EF6106" w14:textId="77777777" w:rsidR="00E818F7" w:rsidRPr="001116C5" w:rsidRDefault="00E818F7" w:rsidP="0086616B">
            <w:pPr>
              <w:rPr>
                <w:rFonts w:asciiTheme="minorHAnsi" w:hAnsiTheme="minorHAnsi" w:cstheme="minorHAnsi"/>
                <w:color w:val="000000"/>
                <w:szCs w:val="22"/>
                <w:lang w:val="pt-PT"/>
              </w:rPr>
            </w:pPr>
            <w:r w:rsidRPr="001116C5">
              <w:rPr>
                <w:rFonts w:asciiTheme="minorHAnsi" w:hAnsiTheme="minorHAnsi" w:cstheme="minorHAnsi"/>
                <w:color w:val="000000"/>
                <w:szCs w:val="22"/>
                <w:lang w:val="pt-PT"/>
              </w:rPr>
              <w:lastRenderedPageBreak/>
              <w:t>Prihodi od institucija i tijela EU</w:t>
            </w:r>
          </w:p>
        </w:tc>
        <w:tc>
          <w:tcPr>
            <w:tcW w:w="1040" w:type="dxa"/>
            <w:tcBorders>
              <w:top w:val="nil"/>
              <w:left w:val="nil"/>
              <w:bottom w:val="nil"/>
              <w:right w:val="nil"/>
            </w:tcBorders>
            <w:shd w:val="clear" w:color="auto" w:fill="auto"/>
            <w:noWrap/>
            <w:vAlign w:val="center"/>
          </w:tcPr>
          <w:p w14:paraId="2869E86A"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AOP 032</w:t>
            </w:r>
          </w:p>
        </w:tc>
        <w:tc>
          <w:tcPr>
            <w:tcW w:w="222" w:type="dxa"/>
            <w:tcBorders>
              <w:top w:val="nil"/>
              <w:left w:val="nil"/>
              <w:bottom w:val="nil"/>
              <w:right w:val="nil"/>
            </w:tcBorders>
            <w:shd w:val="clear" w:color="auto" w:fill="auto"/>
            <w:noWrap/>
            <w:vAlign w:val="center"/>
          </w:tcPr>
          <w:p w14:paraId="0205FE0F" w14:textId="77777777" w:rsidR="00E818F7" w:rsidRPr="001116C5" w:rsidRDefault="00E818F7" w:rsidP="0086616B">
            <w:pPr>
              <w:rPr>
                <w:rFonts w:asciiTheme="minorHAnsi" w:hAnsiTheme="minorHAnsi" w:cstheme="minorHAnsi"/>
                <w:color w:val="000000"/>
                <w:szCs w:val="22"/>
              </w:rPr>
            </w:pPr>
          </w:p>
        </w:tc>
        <w:tc>
          <w:tcPr>
            <w:tcW w:w="1296" w:type="dxa"/>
            <w:tcBorders>
              <w:top w:val="nil"/>
              <w:left w:val="nil"/>
              <w:bottom w:val="single" w:sz="12" w:space="0" w:color="auto"/>
              <w:right w:val="nil"/>
            </w:tcBorders>
            <w:shd w:val="clear" w:color="auto" w:fill="auto"/>
            <w:noWrap/>
            <w:vAlign w:val="center"/>
          </w:tcPr>
          <w:p w14:paraId="3AF026DE"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194.739</w:t>
            </w:r>
          </w:p>
        </w:tc>
        <w:tc>
          <w:tcPr>
            <w:tcW w:w="284" w:type="dxa"/>
            <w:tcBorders>
              <w:top w:val="nil"/>
              <w:left w:val="nil"/>
              <w:bottom w:val="nil"/>
              <w:right w:val="nil"/>
            </w:tcBorders>
            <w:shd w:val="clear" w:color="auto" w:fill="auto"/>
            <w:noWrap/>
            <w:vAlign w:val="center"/>
          </w:tcPr>
          <w:p w14:paraId="2A0FECF1"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single" w:sz="12" w:space="0" w:color="auto"/>
              <w:right w:val="nil"/>
            </w:tcBorders>
            <w:shd w:val="clear" w:color="auto" w:fill="auto"/>
            <w:noWrap/>
            <w:vAlign w:val="center"/>
          </w:tcPr>
          <w:p w14:paraId="40019F4F"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39.937</w:t>
            </w:r>
          </w:p>
        </w:tc>
        <w:tc>
          <w:tcPr>
            <w:tcW w:w="283" w:type="dxa"/>
            <w:tcBorders>
              <w:top w:val="nil"/>
              <w:left w:val="nil"/>
              <w:bottom w:val="nil"/>
              <w:right w:val="nil"/>
            </w:tcBorders>
            <w:shd w:val="clear" w:color="auto" w:fill="auto"/>
            <w:noWrap/>
            <w:vAlign w:val="center"/>
          </w:tcPr>
          <w:p w14:paraId="194977A9" w14:textId="77777777" w:rsidR="00E818F7" w:rsidRPr="001116C5" w:rsidRDefault="00E818F7" w:rsidP="0086616B">
            <w:pPr>
              <w:jc w:val="right"/>
              <w:rPr>
                <w:rFonts w:asciiTheme="minorHAnsi" w:hAnsiTheme="minorHAnsi" w:cstheme="minorHAnsi"/>
                <w:color w:val="000000"/>
                <w:szCs w:val="22"/>
              </w:rPr>
            </w:pPr>
          </w:p>
        </w:tc>
        <w:tc>
          <w:tcPr>
            <w:tcW w:w="1276" w:type="dxa"/>
            <w:tcBorders>
              <w:top w:val="nil"/>
              <w:left w:val="nil"/>
              <w:bottom w:val="single" w:sz="12" w:space="0" w:color="auto"/>
              <w:right w:val="nil"/>
            </w:tcBorders>
            <w:shd w:val="clear" w:color="auto" w:fill="auto"/>
            <w:noWrap/>
            <w:vAlign w:val="center"/>
          </w:tcPr>
          <w:p w14:paraId="32805FB1"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(154.802)</w:t>
            </w:r>
          </w:p>
        </w:tc>
        <w:tc>
          <w:tcPr>
            <w:tcW w:w="283" w:type="dxa"/>
            <w:tcBorders>
              <w:top w:val="nil"/>
              <w:left w:val="nil"/>
              <w:bottom w:val="nil"/>
              <w:right w:val="nil"/>
            </w:tcBorders>
            <w:shd w:val="clear" w:color="auto" w:fill="auto"/>
            <w:noWrap/>
            <w:vAlign w:val="center"/>
          </w:tcPr>
          <w:p w14:paraId="01E3E637"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single" w:sz="12" w:space="0" w:color="auto"/>
              <w:right w:val="nil"/>
            </w:tcBorders>
            <w:shd w:val="clear" w:color="auto" w:fill="auto"/>
            <w:noWrap/>
            <w:vAlign w:val="center"/>
          </w:tcPr>
          <w:p w14:paraId="1F03887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20,5</w:t>
            </w:r>
          </w:p>
        </w:tc>
      </w:tr>
      <w:tr w:rsidR="00E818F7" w:rsidRPr="001116C5" w14:paraId="026249E7" w14:textId="77777777" w:rsidTr="0086616B">
        <w:trPr>
          <w:trHeight w:val="284"/>
        </w:trPr>
        <w:tc>
          <w:tcPr>
            <w:tcW w:w="2120" w:type="dxa"/>
            <w:tcBorders>
              <w:top w:val="nil"/>
              <w:left w:val="nil"/>
              <w:bottom w:val="nil"/>
              <w:right w:val="nil"/>
            </w:tcBorders>
            <w:shd w:val="clear" w:color="auto" w:fill="auto"/>
            <w:noWrap/>
            <w:vAlign w:val="center"/>
            <w:hideMark/>
          </w:tcPr>
          <w:p w14:paraId="56F9BA9E"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w:t>
            </w:r>
          </w:p>
        </w:tc>
        <w:tc>
          <w:tcPr>
            <w:tcW w:w="1040" w:type="dxa"/>
            <w:tcBorders>
              <w:top w:val="nil"/>
              <w:left w:val="nil"/>
              <w:bottom w:val="nil"/>
              <w:right w:val="nil"/>
            </w:tcBorders>
            <w:shd w:val="clear" w:color="auto" w:fill="auto"/>
            <w:noWrap/>
            <w:vAlign w:val="center"/>
            <w:hideMark/>
          </w:tcPr>
          <w:p w14:paraId="45793184"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AOP 024</w:t>
            </w:r>
          </w:p>
        </w:tc>
        <w:tc>
          <w:tcPr>
            <w:tcW w:w="222" w:type="dxa"/>
            <w:tcBorders>
              <w:top w:val="nil"/>
              <w:left w:val="nil"/>
              <w:bottom w:val="nil"/>
              <w:right w:val="nil"/>
            </w:tcBorders>
            <w:shd w:val="clear" w:color="auto" w:fill="auto"/>
            <w:noWrap/>
            <w:vAlign w:val="center"/>
            <w:hideMark/>
          </w:tcPr>
          <w:p w14:paraId="556D60EE" w14:textId="77777777" w:rsidR="00E818F7" w:rsidRPr="001116C5" w:rsidRDefault="00E818F7" w:rsidP="0086616B">
            <w:pPr>
              <w:rPr>
                <w:rFonts w:asciiTheme="minorHAnsi" w:hAnsiTheme="minorHAnsi" w:cstheme="minorHAnsi"/>
                <w:b/>
                <w:bCs/>
                <w:color w:val="000000"/>
                <w:szCs w:val="22"/>
              </w:rPr>
            </w:pPr>
          </w:p>
        </w:tc>
        <w:tc>
          <w:tcPr>
            <w:tcW w:w="1296" w:type="dxa"/>
            <w:tcBorders>
              <w:top w:val="single" w:sz="12" w:space="0" w:color="auto"/>
              <w:left w:val="nil"/>
              <w:bottom w:val="single" w:sz="12" w:space="0" w:color="auto"/>
              <w:right w:val="nil"/>
            </w:tcBorders>
            <w:shd w:val="clear" w:color="auto" w:fill="auto"/>
            <w:noWrap/>
            <w:vAlign w:val="center"/>
          </w:tcPr>
          <w:p w14:paraId="602C6B57"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972.099</w:t>
            </w:r>
          </w:p>
        </w:tc>
        <w:tc>
          <w:tcPr>
            <w:tcW w:w="284" w:type="dxa"/>
            <w:tcBorders>
              <w:top w:val="nil"/>
              <w:left w:val="nil"/>
              <w:bottom w:val="nil"/>
              <w:right w:val="nil"/>
            </w:tcBorders>
            <w:shd w:val="clear" w:color="auto" w:fill="auto"/>
            <w:noWrap/>
            <w:vAlign w:val="center"/>
          </w:tcPr>
          <w:p w14:paraId="231EE37D" w14:textId="77777777" w:rsidR="00E818F7" w:rsidRPr="001116C5" w:rsidRDefault="00E818F7" w:rsidP="0086616B">
            <w:pPr>
              <w:jc w:val="right"/>
              <w:rPr>
                <w:rFonts w:asciiTheme="minorHAnsi" w:hAnsiTheme="minorHAnsi" w:cstheme="minorHAnsi"/>
                <w:b/>
                <w:bCs/>
                <w:color w:val="000000"/>
                <w:szCs w:val="22"/>
              </w:rPr>
            </w:pPr>
          </w:p>
        </w:tc>
        <w:tc>
          <w:tcPr>
            <w:tcW w:w="1134" w:type="dxa"/>
            <w:tcBorders>
              <w:top w:val="single" w:sz="12" w:space="0" w:color="auto"/>
              <w:left w:val="nil"/>
              <w:bottom w:val="single" w:sz="12" w:space="0" w:color="auto"/>
              <w:right w:val="nil"/>
            </w:tcBorders>
            <w:shd w:val="clear" w:color="auto" w:fill="auto"/>
            <w:noWrap/>
            <w:vAlign w:val="center"/>
          </w:tcPr>
          <w:p w14:paraId="730A080D"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1.448.332</w:t>
            </w:r>
          </w:p>
        </w:tc>
        <w:tc>
          <w:tcPr>
            <w:tcW w:w="283" w:type="dxa"/>
            <w:tcBorders>
              <w:top w:val="nil"/>
              <w:left w:val="nil"/>
              <w:bottom w:val="nil"/>
              <w:right w:val="nil"/>
            </w:tcBorders>
            <w:shd w:val="clear" w:color="auto" w:fill="auto"/>
            <w:noWrap/>
            <w:vAlign w:val="center"/>
          </w:tcPr>
          <w:p w14:paraId="62E3CC2A" w14:textId="77777777" w:rsidR="00E818F7" w:rsidRPr="001116C5" w:rsidRDefault="00E818F7" w:rsidP="0086616B">
            <w:pPr>
              <w:jc w:val="right"/>
              <w:rPr>
                <w:rFonts w:asciiTheme="minorHAnsi" w:hAnsiTheme="minorHAnsi" w:cstheme="minorHAnsi"/>
                <w:b/>
                <w:bCs/>
                <w:color w:val="000000"/>
                <w:szCs w:val="22"/>
              </w:rPr>
            </w:pPr>
          </w:p>
        </w:tc>
        <w:tc>
          <w:tcPr>
            <w:tcW w:w="1276" w:type="dxa"/>
            <w:tcBorders>
              <w:top w:val="single" w:sz="12" w:space="0" w:color="auto"/>
              <w:left w:val="nil"/>
              <w:bottom w:val="single" w:sz="12" w:space="0" w:color="auto"/>
              <w:right w:val="nil"/>
            </w:tcBorders>
            <w:shd w:val="clear" w:color="auto" w:fill="auto"/>
            <w:noWrap/>
            <w:vAlign w:val="center"/>
          </w:tcPr>
          <w:p w14:paraId="581C4165"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476.233</w:t>
            </w:r>
          </w:p>
        </w:tc>
        <w:tc>
          <w:tcPr>
            <w:tcW w:w="283" w:type="dxa"/>
            <w:tcBorders>
              <w:top w:val="nil"/>
              <w:left w:val="nil"/>
              <w:bottom w:val="nil"/>
              <w:right w:val="nil"/>
            </w:tcBorders>
            <w:shd w:val="clear" w:color="auto" w:fill="auto"/>
            <w:noWrap/>
            <w:vAlign w:val="center"/>
          </w:tcPr>
          <w:p w14:paraId="4F05AD3C" w14:textId="77777777" w:rsidR="00E818F7" w:rsidRPr="001116C5" w:rsidRDefault="00E818F7" w:rsidP="0086616B">
            <w:pPr>
              <w:jc w:val="right"/>
              <w:rPr>
                <w:rFonts w:asciiTheme="minorHAnsi" w:hAnsiTheme="minorHAnsi" w:cstheme="minorHAnsi"/>
                <w:b/>
                <w:bCs/>
                <w:color w:val="000000"/>
                <w:szCs w:val="22"/>
              </w:rPr>
            </w:pPr>
          </w:p>
        </w:tc>
        <w:tc>
          <w:tcPr>
            <w:tcW w:w="1134" w:type="dxa"/>
            <w:tcBorders>
              <w:top w:val="single" w:sz="12" w:space="0" w:color="auto"/>
              <w:left w:val="nil"/>
              <w:bottom w:val="single" w:sz="12" w:space="0" w:color="auto"/>
              <w:right w:val="nil"/>
            </w:tcBorders>
            <w:shd w:val="clear" w:color="auto" w:fill="auto"/>
            <w:noWrap/>
            <w:vAlign w:val="center"/>
          </w:tcPr>
          <w:p w14:paraId="27D3C611"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149,0</w:t>
            </w:r>
          </w:p>
        </w:tc>
      </w:tr>
    </w:tbl>
    <w:p w14:paraId="0FB9E096"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rPr>
      </w:pPr>
    </w:p>
    <w:p w14:paraId="68E9A0C6"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rPr>
      </w:pPr>
    </w:p>
    <w:p w14:paraId="65C9CB4E"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rPr>
      </w:pPr>
      <w:r w:rsidRPr="001116C5">
        <w:rPr>
          <w:rFonts w:asciiTheme="minorHAnsi" w:hAnsiTheme="minorHAnsi" w:cstheme="minorHAnsi"/>
          <w:b/>
          <w:i/>
          <w:szCs w:val="22"/>
        </w:rPr>
        <w:t xml:space="preserve">3.1. </w:t>
      </w:r>
      <w:r w:rsidRPr="001116C5">
        <w:rPr>
          <w:rFonts w:asciiTheme="minorHAnsi" w:hAnsiTheme="minorHAnsi" w:cstheme="minorHAnsi"/>
          <w:b/>
          <w:i/>
          <w:szCs w:val="22"/>
        </w:rPr>
        <w:tab/>
        <w:t>AOP 026 – Prihodi od donacija iz državnog proračuna</w:t>
      </w:r>
    </w:p>
    <w:p w14:paraId="09896773" w14:textId="77777777" w:rsidR="00E818F7" w:rsidRPr="001116C5" w:rsidRDefault="00E818F7" w:rsidP="00E818F7">
      <w:pPr>
        <w:pStyle w:val="NoSpacing"/>
        <w:rPr>
          <w:rFonts w:asciiTheme="minorHAnsi" w:hAnsiTheme="minorHAnsi" w:cstheme="minorHAnsi"/>
          <w:sz w:val="22"/>
          <w:szCs w:val="22"/>
        </w:rPr>
      </w:pPr>
    </w:p>
    <w:p w14:paraId="775260C5"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1116C5">
        <w:rPr>
          <w:rFonts w:asciiTheme="minorHAnsi" w:hAnsiTheme="minorHAnsi" w:cstheme="minorHAnsi"/>
          <w:szCs w:val="22"/>
          <w:lang w:val="hr-HR"/>
        </w:rPr>
        <w:t>Financijska sredstva za održavanje hladnog pogona Centra osiguravaju se u državnom proračunu Republike Hrvatske, a na temelju ugovora između osnivača Centra i UNEP-a. Za 2023. godinu iznos financijskih sredstava iznosi 26.546 eura.</w:t>
      </w:r>
    </w:p>
    <w:p w14:paraId="2E575609" w14:textId="77777777" w:rsidR="00E818F7" w:rsidRPr="001116C5" w:rsidRDefault="00E818F7" w:rsidP="00E818F7">
      <w:pPr>
        <w:pStyle w:val="NoSpacing"/>
        <w:rPr>
          <w:rFonts w:asciiTheme="minorHAnsi" w:hAnsiTheme="minorHAnsi" w:cstheme="minorHAnsi"/>
          <w:sz w:val="22"/>
          <w:szCs w:val="22"/>
        </w:rPr>
      </w:pPr>
    </w:p>
    <w:p w14:paraId="678C6378"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1116C5">
        <w:rPr>
          <w:rFonts w:asciiTheme="minorHAnsi" w:hAnsiTheme="minorHAnsi" w:cstheme="minorHAnsi"/>
          <w:szCs w:val="22"/>
          <w:lang w:val="hr-HR"/>
        </w:rPr>
        <w:t>Navedena sredstva služe za održavanje i sigurnost zgrade i uređaja, čišćenje, utrošak električne energije i vode, nabavu uredske opreme i materijala,stručne literature, revizijski uvid ili reviziju, pravne poslove Centra i sl., i za rad Upravnog vijeća Centra (troškovi pripreme i održavanja sjednica, putni troškovi članova Vijeća i naknada za rad).</w:t>
      </w:r>
    </w:p>
    <w:p w14:paraId="0FD0E862"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p>
    <w:p w14:paraId="461C4C3E"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hr-HR"/>
        </w:rPr>
      </w:pPr>
      <w:r w:rsidRPr="001116C5">
        <w:rPr>
          <w:rFonts w:asciiTheme="minorHAnsi" w:hAnsiTheme="minorHAnsi" w:cstheme="minorHAnsi"/>
          <w:b/>
          <w:i/>
          <w:szCs w:val="22"/>
          <w:lang w:val="hr-HR"/>
        </w:rPr>
        <w:t xml:space="preserve">3.2. </w:t>
      </w:r>
      <w:r w:rsidRPr="001116C5">
        <w:rPr>
          <w:rFonts w:asciiTheme="minorHAnsi" w:hAnsiTheme="minorHAnsi" w:cstheme="minorHAnsi"/>
          <w:b/>
          <w:i/>
          <w:szCs w:val="22"/>
          <w:lang w:val="hr-HR"/>
        </w:rPr>
        <w:tab/>
        <w:t>AOP 031 Prihodi od inozemnih vlada i međunarodnih organizcacija</w:t>
      </w:r>
    </w:p>
    <w:p w14:paraId="46A5CD66"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p>
    <w:p w14:paraId="61C5AAF4"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Financijska sredstva za obavljanje stručnih, organizacijskih i tekućih poslova koji se odnose na provedbu zaključaka i preporuka Ugovornih strana Barcelonske konvencije, odnosno na obavljanje djelatnosti prema programu Mediteranskog akcijskog plana, osiguravaju Ugovorne strane Barcelonske konvencije kao posebna sredstva Centra, iz Mediteranskog namjenskog Fonda.  </w:t>
      </w:r>
    </w:p>
    <w:p w14:paraId="773C37DE" w14:textId="77777777" w:rsidR="00E818F7" w:rsidRPr="001116C5" w:rsidRDefault="00E818F7" w:rsidP="00E818F7">
      <w:pPr>
        <w:pStyle w:val="NoSpacing"/>
        <w:rPr>
          <w:rFonts w:asciiTheme="minorHAnsi" w:hAnsiTheme="minorHAnsi" w:cstheme="minorHAnsi"/>
          <w:sz w:val="22"/>
          <w:szCs w:val="22"/>
        </w:rPr>
      </w:pPr>
    </w:p>
    <w:p w14:paraId="5C3828B2"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szCs w:val="22"/>
          <w:lang w:val="hr-HR"/>
        </w:rPr>
        <w:t xml:space="preserve">Financijska sredstva koja se odnose na rad Centra i suradnju s međunarodnim organizacijama, institucijama Ujedinjenih naroda i međunarodnim agencijama, posebna su sredstva Centra koja se koriste za obavljanje poslova prema programu Mediteranskog akcijskog plana. </w:t>
      </w:r>
      <w:r w:rsidRPr="001116C5">
        <w:rPr>
          <w:rFonts w:asciiTheme="minorHAnsi" w:hAnsiTheme="minorHAnsi" w:cstheme="minorHAnsi"/>
          <w:szCs w:val="22"/>
          <w:lang w:val="pt-PT"/>
        </w:rPr>
        <w:t xml:space="preserve">Prihodi se knjiže na temelju ugovora s UNEP-om i EU u kojima je točno opisana dinamika izvođenja aktivnosti i isplata. </w:t>
      </w:r>
    </w:p>
    <w:p w14:paraId="06C1261A" w14:textId="53B40683"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p>
    <w:p w14:paraId="3ADF5CA8" w14:textId="77777777" w:rsidR="00E818F7" w:rsidRPr="001116C5" w:rsidRDefault="00E818F7" w:rsidP="00E818F7">
      <w:pPr>
        <w:rPr>
          <w:rFonts w:asciiTheme="minorHAnsi" w:hAnsiTheme="minorHAnsi" w:cstheme="minorHAnsi"/>
          <w:b/>
          <w:i/>
          <w:color w:val="000000"/>
          <w:szCs w:val="22"/>
          <w:lang w:val="pt-PT"/>
        </w:rPr>
      </w:pPr>
      <w:r w:rsidRPr="001116C5">
        <w:rPr>
          <w:rFonts w:asciiTheme="minorHAnsi" w:hAnsiTheme="minorHAnsi" w:cstheme="minorHAnsi"/>
          <w:b/>
          <w:i/>
          <w:szCs w:val="22"/>
          <w:lang w:val="pt-PT"/>
        </w:rPr>
        <w:t xml:space="preserve">3.3. </w:t>
      </w:r>
      <w:r w:rsidRPr="001116C5">
        <w:rPr>
          <w:rFonts w:asciiTheme="minorHAnsi" w:hAnsiTheme="minorHAnsi" w:cstheme="minorHAnsi"/>
          <w:b/>
          <w:i/>
          <w:szCs w:val="22"/>
          <w:lang w:val="pt-PT"/>
        </w:rPr>
        <w:tab/>
        <w:t xml:space="preserve">AOP 032 </w:t>
      </w:r>
      <w:r w:rsidRPr="001116C5">
        <w:rPr>
          <w:rFonts w:asciiTheme="minorHAnsi" w:hAnsiTheme="minorHAnsi" w:cstheme="minorHAnsi"/>
          <w:b/>
          <w:i/>
          <w:color w:val="000000"/>
          <w:szCs w:val="22"/>
          <w:lang w:val="pt-PT"/>
        </w:rPr>
        <w:t>Prihodi od institucija i tijela EU</w:t>
      </w:r>
    </w:p>
    <w:p w14:paraId="25F26F20"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highlight w:val="yellow"/>
          <w:lang w:val="pt-PT"/>
        </w:rPr>
      </w:pPr>
    </w:p>
    <w:p w14:paraId="609DED26"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Prihodi od institucija i tijela EU odnose se na sredstva primljena iz EU fondova, a za financiranje projekta MSP4BIO kojemu je cilj podržati dosljednu provedbu strategije bioraznolikosti EU-a i projekta CREATE </w:t>
      </w:r>
      <w:r w:rsidRPr="001116C5">
        <w:rPr>
          <w:rFonts w:asciiTheme="minorHAnsi" w:hAnsiTheme="minorHAnsi" w:cstheme="minorHAnsi"/>
          <w:szCs w:val="22"/>
          <w:lang w:val="pt-PT"/>
        </w:rPr>
        <w:lastRenderedPageBreak/>
        <w:t xml:space="preserve">kojemu je cilj analizirati, sintetizirati i približiti znanje o utjecajima klimatskih promjena i praksama prilagodbe na Jadranu i drugdje. U 2023. godini za projekt CREATE Interreg CBC Italija – Hrvatska pristigla je uplata za prvo izvještajno razdoblje. </w:t>
      </w:r>
    </w:p>
    <w:p w14:paraId="7A8D07D0"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000000"/>
          <w:szCs w:val="22"/>
          <w:lang w:val="pt-PT"/>
        </w:rPr>
      </w:pPr>
    </w:p>
    <w:p w14:paraId="0F71BF4F"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Cs w:val="22"/>
        </w:rPr>
      </w:pPr>
      <w:r w:rsidRPr="001116C5">
        <w:rPr>
          <w:rFonts w:asciiTheme="minorHAnsi" w:hAnsiTheme="minorHAnsi" w:cstheme="minorHAnsi"/>
          <w:b/>
          <w:szCs w:val="22"/>
        </w:rPr>
        <w:t>4.  RASHODI ZA RADNIKE</w:t>
      </w:r>
    </w:p>
    <w:p w14:paraId="19C50036" w14:textId="77777777" w:rsidR="00E818F7" w:rsidRPr="001116C5" w:rsidRDefault="00E818F7" w:rsidP="00E818F7">
      <w:pPr>
        <w:pStyle w:val="NoSpacing"/>
        <w:rPr>
          <w:rFonts w:asciiTheme="minorHAnsi" w:hAnsiTheme="minorHAnsi" w:cstheme="minorHAnsi"/>
          <w:sz w:val="22"/>
          <w:szCs w:val="22"/>
        </w:rPr>
      </w:pPr>
    </w:p>
    <w:tbl>
      <w:tblPr>
        <w:tblW w:w="4883" w:type="pct"/>
        <w:tblInd w:w="115" w:type="dxa"/>
        <w:tblLayout w:type="fixed"/>
        <w:tblCellMar>
          <w:left w:w="115" w:type="dxa"/>
          <w:right w:w="115" w:type="dxa"/>
        </w:tblCellMar>
        <w:tblLook w:val="04A0" w:firstRow="1" w:lastRow="0" w:firstColumn="1" w:lastColumn="0" w:noHBand="0" w:noVBand="1"/>
      </w:tblPr>
      <w:tblGrid>
        <w:gridCol w:w="2922"/>
        <w:gridCol w:w="1080"/>
        <w:gridCol w:w="269"/>
        <w:gridCol w:w="1055"/>
        <w:gridCol w:w="250"/>
        <w:gridCol w:w="1055"/>
        <w:gridCol w:w="250"/>
        <w:gridCol w:w="1039"/>
        <w:gridCol w:w="253"/>
        <w:gridCol w:w="964"/>
      </w:tblGrid>
      <w:tr w:rsidR="00E818F7" w:rsidRPr="001116C5" w14:paraId="04909CA8" w14:textId="77777777" w:rsidTr="0086616B">
        <w:trPr>
          <w:trHeight w:val="340"/>
        </w:trPr>
        <w:tc>
          <w:tcPr>
            <w:tcW w:w="1600" w:type="pct"/>
            <w:tcBorders>
              <w:top w:val="nil"/>
              <w:left w:val="nil"/>
              <w:bottom w:val="nil"/>
              <w:right w:val="nil"/>
            </w:tcBorders>
            <w:shd w:val="clear" w:color="auto" w:fill="auto"/>
            <w:noWrap/>
            <w:vAlign w:val="center"/>
            <w:hideMark/>
          </w:tcPr>
          <w:p w14:paraId="35A5C82C" w14:textId="77777777" w:rsidR="00E818F7" w:rsidRPr="001116C5" w:rsidRDefault="00E818F7" w:rsidP="0086616B">
            <w:pPr>
              <w:rPr>
                <w:rFonts w:asciiTheme="minorHAnsi" w:hAnsiTheme="minorHAnsi" w:cstheme="minorHAnsi"/>
                <w:szCs w:val="22"/>
              </w:rPr>
            </w:pPr>
          </w:p>
        </w:tc>
        <w:tc>
          <w:tcPr>
            <w:tcW w:w="592" w:type="pct"/>
            <w:tcBorders>
              <w:top w:val="nil"/>
              <w:left w:val="nil"/>
              <w:bottom w:val="nil"/>
              <w:right w:val="nil"/>
            </w:tcBorders>
            <w:shd w:val="clear" w:color="auto" w:fill="auto"/>
            <w:noWrap/>
            <w:vAlign w:val="center"/>
            <w:hideMark/>
          </w:tcPr>
          <w:p w14:paraId="33FD0E6F" w14:textId="77777777" w:rsidR="00E818F7" w:rsidRPr="001116C5" w:rsidRDefault="00E818F7" w:rsidP="0086616B">
            <w:pPr>
              <w:rPr>
                <w:rFonts w:asciiTheme="minorHAnsi" w:hAnsiTheme="minorHAnsi" w:cstheme="minorHAnsi"/>
                <w:szCs w:val="22"/>
              </w:rPr>
            </w:pPr>
          </w:p>
        </w:tc>
        <w:tc>
          <w:tcPr>
            <w:tcW w:w="148" w:type="pct"/>
            <w:tcBorders>
              <w:top w:val="nil"/>
              <w:left w:val="nil"/>
              <w:bottom w:val="nil"/>
              <w:right w:val="nil"/>
            </w:tcBorders>
            <w:shd w:val="clear" w:color="auto" w:fill="auto"/>
            <w:vAlign w:val="center"/>
          </w:tcPr>
          <w:p w14:paraId="0E1F98FC" w14:textId="77777777" w:rsidR="00E818F7" w:rsidRPr="001116C5" w:rsidRDefault="00E818F7" w:rsidP="0086616B">
            <w:pPr>
              <w:rPr>
                <w:rFonts w:asciiTheme="minorHAnsi" w:hAnsiTheme="minorHAnsi" w:cstheme="minorHAnsi"/>
                <w:szCs w:val="22"/>
              </w:rPr>
            </w:pPr>
          </w:p>
        </w:tc>
        <w:tc>
          <w:tcPr>
            <w:tcW w:w="578" w:type="pct"/>
            <w:tcBorders>
              <w:top w:val="nil"/>
              <w:left w:val="nil"/>
              <w:bottom w:val="single" w:sz="12" w:space="0" w:color="auto"/>
              <w:right w:val="nil"/>
            </w:tcBorders>
            <w:shd w:val="clear" w:color="auto" w:fill="auto"/>
            <w:noWrap/>
            <w:vAlign w:val="center"/>
          </w:tcPr>
          <w:p w14:paraId="6D3CBB29"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2022.</w:t>
            </w:r>
          </w:p>
        </w:tc>
        <w:tc>
          <w:tcPr>
            <w:tcW w:w="134" w:type="pct"/>
            <w:tcBorders>
              <w:top w:val="nil"/>
              <w:left w:val="nil"/>
              <w:bottom w:val="nil"/>
              <w:right w:val="nil"/>
            </w:tcBorders>
            <w:shd w:val="clear" w:color="auto" w:fill="auto"/>
            <w:noWrap/>
            <w:vAlign w:val="center"/>
          </w:tcPr>
          <w:p w14:paraId="4DE4F5E6" w14:textId="77777777" w:rsidR="00E818F7" w:rsidRPr="001116C5" w:rsidRDefault="00E818F7" w:rsidP="0086616B">
            <w:pPr>
              <w:jc w:val="center"/>
              <w:rPr>
                <w:rFonts w:asciiTheme="minorHAnsi" w:hAnsiTheme="minorHAnsi" w:cstheme="minorHAnsi"/>
                <w:b/>
                <w:bCs/>
                <w:color w:val="000000"/>
                <w:szCs w:val="22"/>
              </w:rPr>
            </w:pPr>
          </w:p>
        </w:tc>
        <w:tc>
          <w:tcPr>
            <w:tcW w:w="578" w:type="pct"/>
            <w:tcBorders>
              <w:top w:val="nil"/>
              <w:left w:val="nil"/>
              <w:bottom w:val="single" w:sz="12" w:space="0" w:color="auto"/>
              <w:right w:val="nil"/>
            </w:tcBorders>
            <w:shd w:val="clear" w:color="auto" w:fill="auto"/>
            <w:noWrap/>
            <w:vAlign w:val="center"/>
          </w:tcPr>
          <w:p w14:paraId="63BA68DF"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2023.</w:t>
            </w:r>
          </w:p>
        </w:tc>
        <w:tc>
          <w:tcPr>
            <w:tcW w:w="134" w:type="pct"/>
            <w:tcBorders>
              <w:top w:val="nil"/>
              <w:left w:val="nil"/>
              <w:bottom w:val="nil"/>
              <w:right w:val="nil"/>
            </w:tcBorders>
            <w:shd w:val="clear" w:color="auto" w:fill="auto"/>
            <w:noWrap/>
            <w:vAlign w:val="center"/>
          </w:tcPr>
          <w:p w14:paraId="01561792" w14:textId="77777777" w:rsidR="00E818F7" w:rsidRPr="001116C5" w:rsidRDefault="00E818F7" w:rsidP="0086616B">
            <w:pPr>
              <w:jc w:val="center"/>
              <w:rPr>
                <w:rFonts w:asciiTheme="minorHAnsi" w:hAnsiTheme="minorHAnsi" w:cstheme="minorHAnsi"/>
                <w:b/>
                <w:bCs/>
                <w:color w:val="000000"/>
                <w:szCs w:val="22"/>
              </w:rPr>
            </w:pPr>
          </w:p>
        </w:tc>
        <w:tc>
          <w:tcPr>
            <w:tcW w:w="569" w:type="pct"/>
            <w:tcBorders>
              <w:top w:val="nil"/>
              <w:left w:val="nil"/>
              <w:bottom w:val="single" w:sz="12" w:space="0" w:color="auto"/>
              <w:right w:val="nil"/>
            </w:tcBorders>
            <w:shd w:val="clear" w:color="auto" w:fill="auto"/>
            <w:noWrap/>
            <w:vAlign w:val="center"/>
          </w:tcPr>
          <w:p w14:paraId="5ED2E65F"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Razlika</w:t>
            </w:r>
          </w:p>
        </w:tc>
        <w:tc>
          <w:tcPr>
            <w:tcW w:w="139" w:type="pct"/>
            <w:tcBorders>
              <w:top w:val="nil"/>
              <w:left w:val="nil"/>
              <w:bottom w:val="nil"/>
              <w:right w:val="nil"/>
            </w:tcBorders>
            <w:shd w:val="clear" w:color="auto" w:fill="auto"/>
            <w:noWrap/>
            <w:vAlign w:val="center"/>
          </w:tcPr>
          <w:p w14:paraId="5BDCBC67" w14:textId="77777777" w:rsidR="00E818F7" w:rsidRPr="001116C5" w:rsidRDefault="00E818F7" w:rsidP="0086616B">
            <w:pPr>
              <w:jc w:val="center"/>
              <w:rPr>
                <w:rFonts w:asciiTheme="minorHAnsi" w:hAnsiTheme="minorHAnsi" w:cstheme="minorHAnsi"/>
                <w:b/>
                <w:bCs/>
                <w:color w:val="000000"/>
                <w:szCs w:val="22"/>
              </w:rPr>
            </w:pPr>
          </w:p>
        </w:tc>
        <w:tc>
          <w:tcPr>
            <w:tcW w:w="529" w:type="pct"/>
            <w:tcBorders>
              <w:top w:val="nil"/>
              <w:left w:val="nil"/>
              <w:bottom w:val="single" w:sz="12" w:space="0" w:color="auto"/>
              <w:right w:val="nil"/>
            </w:tcBorders>
            <w:shd w:val="clear" w:color="auto" w:fill="auto"/>
            <w:noWrap/>
            <w:vAlign w:val="center"/>
          </w:tcPr>
          <w:p w14:paraId="3E34A451"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Index</w:t>
            </w:r>
          </w:p>
        </w:tc>
      </w:tr>
      <w:tr w:rsidR="00E818F7" w:rsidRPr="001116C5" w14:paraId="0533302B" w14:textId="77777777" w:rsidTr="0086616B">
        <w:trPr>
          <w:trHeight w:val="340"/>
        </w:trPr>
        <w:tc>
          <w:tcPr>
            <w:tcW w:w="1600" w:type="pct"/>
            <w:tcBorders>
              <w:top w:val="nil"/>
              <w:left w:val="nil"/>
              <w:bottom w:val="nil"/>
              <w:right w:val="nil"/>
            </w:tcBorders>
            <w:shd w:val="clear" w:color="auto" w:fill="auto"/>
            <w:vAlign w:val="center"/>
            <w:hideMark/>
          </w:tcPr>
          <w:p w14:paraId="3AD69BB8"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Plaće za redovan rad</w:t>
            </w:r>
          </w:p>
        </w:tc>
        <w:tc>
          <w:tcPr>
            <w:tcW w:w="592" w:type="pct"/>
            <w:tcBorders>
              <w:top w:val="nil"/>
              <w:left w:val="nil"/>
              <w:bottom w:val="nil"/>
              <w:right w:val="nil"/>
            </w:tcBorders>
            <w:shd w:val="clear" w:color="auto" w:fill="auto"/>
            <w:noWrap/>
            <w:vAlign w:val="center"/>
            <w:hideMark/>
          </w:tcPr>
          <w:p w14:paraId="5620AEA5"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057</w:t>
            </w:r>
          </w:p>
        </w:tc>
        <w:tc>
          <w:tcPr>
            <w:tcW w:w="148" w:type="pct"/>
            <w:tcBorders>
              <w:top w:val="nil"/>
              <w:left w:val="nil"/>
              <w:bottom w:val="nil"/>
              <w:right w:val="nil"/>
            </w:tcBorders>
            <w:shd w:val="clear" w:color="auto" w:fill="auto"/>
            <w:vAlign w:val="center"/>
          </w:tcPr>
          <w:p w14:paraId="3ED8D0C0" w14:textId="77777777" w:rsidR="00E818F7" w:rsidRPr="001116C5" w:rsidRDefault="00E818F7" w:rsidP="0086616B">
            <w:pPr>
              <w:jc w:val="center"/>
              <w:rPr>
                <w:rFonts w:asciiTheme="minorHAnsi" w:hAnsiTheme="minorHAnsi" w:cstheme="minorHAnsi"/>
                <w:color w:val="000000"/>
                <w:szCs w:val="22"/>
              </w:rPr>
            </w:pPr>
          </w:p>
        </w:tc>
        <w:tc>
          <w:tcPr>
            <w:tcW w:w="578" w:type="pct"/>
            <w:tcBorders>
              <w:top w:val="single" w:sz="12" w:space="0" w:color="auto"/>
              <w:left w:val="nil"/>
              <w:bottom w:val="single" w:sz="12" w:space="0" w:color="auto"/>
              <w:right w:val="nil"/>
            </w:tcBorders>
            <w:shd w:val="clear" w:color="auto" w:fill="auto"/>
            <w:noWrap/>
            <w:vAlign w:val="center"/>
          </w:tcPr>
          <w:p w14:paraId="1ECD234E"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529.158</w:t>
            </w:r>
          </w:p>
        </w:tc>
        <w:tc>
          <w:tcPr>
            <w:tcW w:w="134" w:type="pct"/>
            <w:tcBorders>
              <w:top w:val="nil"/>
              <w:left w:val="nil"/>
              <w:bottom w:val="nil"/>
              <w:right w:val="nil"/>
            </w:tcBorders>
            <w:shd w:val="clear" w:color="auto" w:fill="auto"/>
            <w:noWrap/>
            <w:vAlign w:val="center"/>
          </w:tcPr>
          <w:p w14:paraId="3ED01ABD" w14:textId="77777777" w:rsidR="00E818F7" w:rsidRPr="001116C5" w:rsidRDefault="00E818F7" w:rsidP="0086616B">
            <w:pPr>
              <w:jc w:val="right"/>
              <w:rPr>
                <w:rFonts w:asciiTheme="minorHAnsi" w:hAnsiTheme="minorHAnsi" w:cstheme="minorHAnsi"/>
                <w:color w:val="000000"/>
                <w:szCs w:val="22"/>
              </w:rPr>
            </w:pPr>
          </w:p>
        </w:tc>
        <w:tc>
          <w:tcPr>
            <w:tcW w:w="578" w:type="pct"/>
            <w:tcBorders>
              <w:top w:val="single" w:sz="12" w:space="0" w:color="auto"/>
              <w:left w:val="nil"/>
              <w:bottom w:val="single" w:sz="12" w:space="0" w:color="auto"/>
              <w:right w:val="nil"/>
            </w:tcBorders>
            <w:shd w:val="clear" w:color="auto" w:fill="auto"/>
            <w:noWrap/>
            <w:vAlign w:val="center"/>
          </w:tcPr>
          <w:p w14:paraId="509E8F5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584.711</w:t>
            </w:r>
          </w:p>
        </w:tc>
        <w:tc>
          <w:tcPr>
            <w:tcW w:w="134" w:type="pct"/>
            <w:tcBorders>
              <w:top w:val="nil"/>
              <w:left w:val="nil"/>
              <w:bottom w:val="nil"/>
              <w:right w:val="nil"/>
            </w:tcBorders>
            <w:shd w:val="clear" w:color="auto" w:fill="auto"/>
            <w:noWrap/>
            <w:vAlign w:val="center"/>
          </w:tcPr>
          <w:p w14:paraId="6DEEC04B" w14:textId="77777777" w:rsidR="00E818F7" w:rsidRPr="001116C5" w:rsidRDefault="00E818F7" w:rsidP="0086616B">
            <w:pPr>
              <w:jc w:val="right"/>
              <w:rPr>
                <w:rFonts w:asciiTheme="minorHAnsi" w:hAnsiTheme="minorHAnsi" w:cstheme="minorHAnsi"/>
                <w:color w:val="000000"/>
                <w:szCs w:val="22"/>
              </w:rPr>
            </w:pPr>
          </w:p>
        </w:tc>
        <w:tc>
          <w:tcPr>
            <w:tcW w:w="569" w:type="pct"/>
            <w:tcBorders>
              <w:top w:val="single" w:sz="12" w:space="0" w:color="auto"/>
              <w:left w:val="nil"/>
              <w:bottom w:val="single" w:sz="12" w:space="0" w:color="auto"/>
              <w:right w:val="nil"/>
            </w:tcBorders>
            <w:shd w:val="clear" w:color="auto" w:fill="auto"/>
            <w:noWrap/>
            <w:vAlign w:val="center"/>
          </w:tcPr>
          <w:p w14:paraId="7B53F175"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55.553</w:t>
            </w:r>
          </w:p>
        </w:tc>
        <w:tc>
          <w:tcPr>
            <w:tcW w:w="139" w:type="pct"/>
            <w:tcBorders>
              <w:top w:val="nil"/>
              <w:left w:val="nil"/>
              <w:bottom w:val="nil"/>
              <w:right w:val="nil"/>
            </w:tcBorders>
            <w:shd w:val="clear" w:color="auto" w:fill="auto"/>
            <w:noWrap/>
            <w:vAlign w:val="center"/>
          </w:tcPr>
          <w:p w14:paraId="5E630B37" w14:textId="77777777" w:rsidR="00E818F7" w:rsidRPr="001116C5" w:rsidRDefault="00E818F7" w:rsidP="0086616B">
            <w:pPr>
              <w:jc w:val="right"/>
              <w:rPr>
                <w:rFonts w:asciiTheme="minorHAnsi" w:hAnsiTheme="minorHAnsi" w:cstheme="minorHAnsi"/>
                <w:color w:val="000000"/>
                <w:szCs w:val="22"/>
              </w:rPr>
            </w:pPr>
          </w:p>
        </w:tc>
        <w:tc>
          <w:tcPr>
            <w:tcW w:w="529" w:type="pct"/>
            <w:tcBorders>
              <w:top w:val="single" w:sz="12" w:space="0" w:color="auto"/>
              <w:left w:val="nil"/>
              <w:bottom w:val="single" w:sz="12" w:space="0" w:color="auto"/>
              <w:right w:val="nil"/>
            </w:tcBorders>
            <w:shd w:val="clear" w:color="auto" w:fill="auto"/>
            <w:noWrap/>
            <w:vAlign w:val="center"/>
          </w:tcPr>
          <w:p w14:paraId="18B2249C"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110,5</w:t>
            </w:r>
          </w:p>
        </w:tc>
      </w:tr>
      <w:tr w:rsidR="00E818F7" w:rsidRPr="001116C5" w14:paraId="0A105416" w14:textId="77777777" w:rsidTr="0086616B">
        <w:trPr>
          <w:trHeight w:val="340"/>
        </w:trPr>
        <w:tc>
          <w:tcPr>
            <w:tcW w:w="1600" w:type="pct"/>
            <w:tcBorders>
              <w:top w:val="nil"/>
              <w:left w:val="nil"/>
              <w:bottom w:val="nil"/>
              <w:right w:val="nil"/>
            </w:tcBorders>
            <w:shd w:val="clear" w:color="auto" w:fill="auto"/>
            <w:vAlign w:val="center"/>
            <w:hideMark/>
          </w:tcPr>
          <w:p w14:paraId="17CB9DA4"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 plaće</w:t>
            </w:r>
          </w:p>
        </w:tc>
        <w:tc>
          <w:tcPr>
            <w:tcW w:w="592" w:type="pct"/>
            <w:tcBorders>
              <w:top w:val="nil"/>
              <w:left w:val="nil"/>
              <w:bottom w:val="nil"/>
              <w:right w:val="nil"/>
            </w:tcBorders>
            <w:shd w:val="clear" w:color="auto" w:fill="auto"/>
            <w:noWrap/>
            <w:vAlign w:val="center"/>
            <w:hideMark/>
          </w:tcPr>
          <w:p w14:paraId="796B6302"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056</w:t>
            </w:r>
          </w:p>
        </w:tc>
        <w:tc>
          <w:tcPr>
            <w:tcW w:w="148" w:type="pct"/>
            <w:tcBorders>
              <w:top w:val="nil"/>
              <w:left w:val="nil"/>
              <w:bottom w:val="nil"/>
              <w:right w:val="nil"/>
            </w:tcBorders>
            <w:shd w:val="clear" w:color="auto" w:fill="auto"/>
            <w:vAlign w:val="center"/>
          </w:tcPr>
          <w:p w14:paraId="27C23A0A" w14:textId="77777777" w:rsidR="00E818F7" w:rsidRPr="001116C5" w:rsidRDefault="00E818F7" w:rsidP="0086616B">
            <w:pPr>
              <w:jc w:val="center"/>
              <w:rPr>
                <w:rFonts w:asciiTheme="minorHAnsi" w:hAnsiTheme="minorHAnsi" w:cstheme="minorHAnsi"/>
                <w:b/>
                <w:bCs/>
                <w:color w:val="000000"/>
                <w:szCs w:val="22"/>
              </w:rPr>
            </w:pPr>
          </w:p>
        </w:tc>
        <w:tc>
          <w:tcPr>
            <w:tcW w:w="578" w:type="pct"/>
            <w:tcBorders>
              <w:top w:val="single" w:sz="12" w:space="0" w:color="auto"/>
              <w:left w:val="nil"/>
              <w:bottom w:val="single" w:sz="12" w:space="0" w:color="auto"/>
              <w:right w:val="nil"/>
            </w:tcBorders>
            <w:shd w:val="clear" w:color="auto" w:fill="auto"/>
            <w:noWrap/>
            <w:vAlign w:val="center"/>
          </w:tcPr>
          <w:p w14:paraId="61396447"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529.158</w:t>
            </w:r>
          </w:p>
        </w:tc>
        <w:tc>
          <w:tcPr>
            <w:tcW w:w="134" w:type="pct"/>
            <w:tcBorders>
              <w:top w:val="nil"/>
              <w:left w:val="nil"/>
              <w:bottom w:val="nil"/>
              <w:right w:val="nil"/>
            </w:tcBorders>
            <w:shd w:val="clear" w:color="auto" w:fill="auto"/>
            <w:noWrap/>
            <w:vAlign w:val="center"/>
          </w:tcPr>
          <w:p w14:paraId="71C8DF0B" w14:textId="77777777" w:rsidR="00E818F7" w:rsidRPr="001116C5" w:rsidRDefault="00E818F7" w:rsidP="0086616B">
            <w:pPr>
              <w:jc w:val="right"/>
              <w:rPr>
                <w:rFonts w:asciiTheme="minorHAnsi" w:hAnsiTheme="minorHAnsi" w:cstheme="minorHAnsi"/>
                <w:b/>
                <w:bCs/>
                <w:color w:val="000000"/>
                <w:szCs w:val="22"/>
              </w:rPr>
            </w:pPr>
          </w:p>
        </w:tc>
        <w:tc>
          <w:tcPr>
            <w:tcW w:w="578" w:type="pct"/>
            <w:tcBorders>
              <w:top w:val="single" w:sz="12" w:space="0" w:color="auto"/>
              <w:left w:val="nil"/>
              <w:bottom w:val="single" w:sz="12" w:space="0" w:color="auto"/>
              <w:right w:val="nil"/>
            </w:tcBorders>
            <w:shd w:val="clear" w:color="auto" w:fill="auto"/>
            <w:noWrap/>
            <w:vAlign w:val="center"/>
          </w:tcPr>
          <w:p w14:paraId="42218E60"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584.711</w:t>
            </w:r>
          </w:p>
        </w:tc>
        <w:tc>
          <w:tcPr>
            <w:tcW w:w="134" w:type="pct"/>
            <w:tcBorders>
              <w:top w:val="nil"/>
              <w:left w:val="nil"/>
              <w:bottom w:val="nil"/>
              <w:right w:val="nil"/>
            </w:tcBorders>
            <w:shd w:val="clear" w:color="auto" w:fill="auto"/>
            <w:noWrap/>
            <w:vAlign w:val="center"/>
          </w:tcPr>
          <w:p w14:paraId="1C5FC993" w14:textId="77777777" w:rsidR="00E818F7" w:rsidRPr="001116C5" w:rsidRDefault="00E818F7" w:rsidP="0086616B">
            <w:pPr>
              <w:jc w:val="right"/>
              <w:rPr>
                <w:rFonts w:asciiTheme="minorHAnsi" w:hAnsiTheme="minorHAnsi" w:cstheme="minorHAnsi"/>
                <w:b/>
                <w:bCs/>
                <w:color w:val="000000"/>
                <w:szCs w:val="22"/>
              </w:rPr>
            </w:pPr>
          </w:p>
        </w:tc>
        <w:tc>
          <w:tcPr>
            <w:tcW w:w="569" w:type="pct"/>
            <w:tcBorders>
              <w:top w:val="single" w:sz="12" w:space="0" w:color="auto"/>
              <w:left w:val="nil"/>
              <w:bottom w:val="single" w:sz="12" w:space="0" w:color="auto"/>
              <w:right w:val="nil"/>
            </w:tcBorders>
            <w:shd w:val="clear" w:color="auto" w:fill="auto"/>
            <w:noWrap/>
            <w:vAlign w:val="center"/>
          </w:tcPr>
          <w:p w14:paraId="21C4D7EF"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55.553</w:t>
            </w:r>
          </w:p>
        </w:tc>
        <w:tc>
          <w:tcPr>
            <w:tcW w:w="139" w:type="pct"/>
            <w:tcBorders>
              <w:top w:val="nil"/>
              <w:left w:val="nil"/>
              <w:bottom w:val="nil"/>
              <w:right w:val="nil"/>
            </w:tcBorders>
            <w:shd w:val="clear" w:color="auto" w:fill="auto"/>
            <w:noWrap/>
            <w:vAlign w:val="center"/>
          </w:tcPr>
          <w:p w14:paraId="179CA2E6" w14:textId="77777777" w:rsidR="00E818F7" w:rsidRPr="001116C5" w:rsidRDefault="00E818F7" w:rsidP="0086616B">
            <w:pPr>
              <w:jc w:val="right"/>
              <w:rPr>
                <w:rFonts w:asciiTheme="minorHAnsi" w:hAnsiTheme="minorHAnsi" w:cstheme="minorHAnsi"/>
                <w:b/>
                <w:bCs/>
                <w:color w:val="000000"/>
                <w:szCs w:val="22"/>
              </w:rPr>
            </w:pPr>
          </w:p>
        </w:tc>
        <w:tc>
          <w:tcPr>
            <w:tcW w:w="529" w:type="pct"/>
            <w:tcBorders>
              <w:top w:val="single" w:sz="12" w:space="0" w:color="auto"/>
              <w:left w:val="nil"/>
              <w:bottom w:val="single" w:sz="12" w:space="0" w:color="auto"/>
              <w:right w:val="nil"/>
            </w:tcBorders>
            <w:shd w:val="clear" w:color="auto" w:fill="auto"/>
            <w:noWrap/>
            <w:vAlign w:val="center"/>
          </w:tcPr>
          <w:p w14:paraId="6F22186F"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110,5</w:t>
            </w:r>
          </w:p>
        </w:tc>
      </w:tr>
      <w:tr w:rsidR="00E818F7" w:rsidRPr="001116C5" w14:paraId="37FED8BA" w14:textId="77777777" w:rsidTr="0086616B">
        <w:trPr>
          <w:trHeight w:val="340"/>
        </w:trPr>
        <w:tc>
          <w:tcPr>
            <w:tcW w:w="1600" w:type="pct"/>
            <w:tcBorders>
              <w:top w:val="nil"/>
              <w:left w:val="nil"/>
              <w:bottom w:val="nil"/>
              <w:right w:val="nil"/>
            </w:tcBorders>
            <w:shd w:val="clear" w:color="auto" w:fill="auto"/>
            <w:vAlign w:val="center"/>
            <w:hideMark/>
          </w:tcPr>
          <w:p w14:paraId="2F7689EA"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 xml:space="preserve">Ostali rashodi za radnike </w:t>
            </w:r>
          </w:p>
        </w:tc>
        <w:tc>
          <w:tcPr>
            <w:tcW w:w="592" w:type="pct"/>
            <w:tcBorders>
              <w:top w:val="nil"/>
              <w:left w:val="nil"/>
              <w:bottom w:val="nil"/>
              <w:right w:val="nil"/>
            </w:tcBorders>
            <w:shd w:val="clear" w:color="auto" w:fill="auto"/>
            <w:noWrap/>
            <w:vAlign w:val="center"/>
            <w:hideMark/>
          </w:tcPr>
          <w:p w14:paraId="71959924"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061</w:t>
            </w:r>
          </w:p>
        </w:tc>
        <w:tc>
          <w:tcPr>
            <w:tcW w:w="148" w:type="pct"/>
            <w:tcBorders>
              <w:top w:val="nil"/>
              <w:left w:val="nil"/>
              <w:bottom w:val="nil"/>
              <w:right w:val="nil"/>
            </w:tcBorders>
            <w:shd w:val="clear" w:color="auto" w:fill="auto"/>
            <w:vAlign w:val="center"/>
          </w:tcPr>
          <w:p w14:paraId="1320F0B1" w14:textId="77777777" w:rsidR="00E818F7" w:rsidRPr="001116C5" w:rsidRDefault="00E818F7" w:rsidP="0086616B">
            <w:pPr>
              <w:jc w:val="center"/>
              <w:rPr>
                <w:rFonts w:asciiTheme="minorHAnsi" w:hAnsiTheme="minorHAnsi" w:cstheme="minorHAnsi"/>
                <w:color w:val="000000"/>
                <w:szCs w:val="22"/>
              </w:rPr>
            </w:pPr>
          </w:p>
        </w:tc>
        <w:tc>
          <w:tcPr>
            <w:tcW w:w="578" w:type="pct"/>
            <w:tcBorders>
              <w:top w:val="nil"/>
              <w:left w:val="nil"/>
              <w:bottom w:val="single" w:sz="12" w:space="0" w:color="auto"/>
              <w:right w:val="nil"/>
            </w:tcBorders>
            <w:shd w:val="clear" w:color="auto" w:fill="auto"/>
            <w:noWrap/>
            <w:vAlign w:val="center"/>
          </w:tcPr>
          <w:p w14:paraId="71BE7E74"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27.235</w:t>
            </w:r>
          </w:p>
        </w:tc>
        <w:tc>
          <w:tcPr>
            <w:tcW w:w="134" w:type="pct"/>
            <w:tcBorders>
              <w:top w:val="nil"/>
              <w:left w:val="nil"/>
              <w:bottom w:val="nil"/>
              <w:right w:val="nil"/>
            </w:tcBorders>
            <w:shd w:val="clear" w:color="auto" w:fill="auto"/>
            <w:noWrap/>
            <w:vAlign w:val="center"/>
          </w:tcPr>
          <w:p w14:paraId="34062546" w14:textId="77777777" w:rsidR="00E818F7" w:rsidRPr="001116C5" w:rsidRDefault="00E818F7" w:rsidP="0086616B">
            <w:pPr>
              <w:jc w:val="right"/>
              <w:rPr>
                <w:rFonts w:asciiTheme="minorHAnsi" w:hAnsiTheme="minorHAnsi" w:cstheme="minorHAnsi"/>
                <w:color w:val="000000"/>
                <w:szCs w:val="22"/>
              </w:rPr>
            </w:pPr>
          </w:p>
        </w:tc>
        <w:tc>
          <w:tcPr>
            <w:tcW w:w="578" w:type="pct"/>
            <w:tcBorders>
              <w:top w:val="nil"/>
              <w:left w:val="nil"/>
              <w:bottom w:val="single" w:sz="12" w:space="0" w:color="auto"/>
              <w:right w:val="nil"/>
            </w:tcBorders>
            <w:shd w:val="clear" w:color="auto" w:fill="auto"/>
            <w:noWrap/>
            <w:vAlign w:val="center"/>
          </w:tcPr>
          <w:p w14:paraId="6AD0AF17"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28.306</w:t>
            </w:r>
          </w:p>
        </w:tc>
        <w:tc>
          <w:tcPr>
            <w:tcW w:w="134" w:type="pct"/>
            <w:tcBorders>
              <w:top w:val="nil"/>
              <w:left w:val="nil"/>
              <w:bottom w:val="nil"/>
              <w:right w:val="nil"/>
            </w:tcBorders>
            <w:shd w:val="clear" w:color="auto" w:fill="auto"/>
            <w:noWrap/>
            <w:vAlign w:val="center"/>
          </w:tcPr>
          <w:p w14:paraId="62D9FC31" w14:textId="77777777" w:rsidR="00E818F7" w:rsidRPr="001116C5" w:rsidRDefault="00E818F7" w:rsidP="0086616B">
            <w:pPr>
              <w:jc w:val="right"/>
              <w:rPr>
                <w:rFonts w:asciiTheme="minorHAnsi" w:hAnsiTheme="minorHAnsi" w:cstheme="minorHAnsi"/>
                <w:color w:val="000000"/>
                <w:szCs w:val="22"/>
              </w:rPr>
            </w:pPr>
          </w:p>
        </w:tc>
        <w:tc>
          <w:tcPr>
            <w:tcW w:w="569" w:type="pct"/>
            <w:tcBorders>
              <w:top w:val="nil"/>
              <w:left w:val="nil"/>
              <w:bottom w:val="single" w:sz="12" w:space="0" w:color="auto"/>
              <w:right w:val="nil"/>
            </w:tcBorders>
            <w:shd w:val="clear" w:color="auto" w:fill="auto"/>
            <w:noWrap/>
            <w:vAlign w:val="center"/>
          </w:tcPr>
          <w:p w14:paraId="5FACC0EF"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1.071</w:t>
            </w:r>
          </w:p>
        </w:tc>
        <w:tc>
          <w:tcPr>
            <w:tcW w:w="139" w:type="pct"/>
            <w:tcBorders>
              <w:top w:val="nil"/>
              <w:left w:val="nil"/>
              <w:bottom w:val="nil"/>
              <w:right w:val="nil"/>
            </w:tcBorders>
            <w:shd w:val="clear" w:color="auto" w:fill="auto"/>
            <w:noWrap/>
            <w:vAlign w:val="center"/>
          </w:tcPr>
          <w:p w14:paraId="01728890" w14:textId="77777777" w:rsidR="00E818F7" w:rsidRPr="001116C5" w:rsidRDefault="00E818F7" w:rsidP="0086616B">
            <w:pPr>
              <w:jc w:val="right"/>
              <w:rPr>
                <w:rFonts w:asciiTheme="minorHAnsi" w:hAnsiTheme="minorHAnsi" w:cstheme="minorHAnsi"/>
                <w:color w:val="000000"/>
                <w:szCs w:val="22"/>
              </w:rPr>
            </w:pPr>
          </w:p>
        </w:tc>
        <w:tc>
          <w:tcPr>
            <w:tcW w:w="529" w:type="pct"/>
            <w:tcBorders>
              <w:top w:val="nil"/>
              <w:left w:val="nil"/>
              <w:bottom w:val="single" w:sz="12" w:space="0" w:color="auto"/>
              <w:right w:val="nil"/>
            </w:tcBorders>
            <w:shd w:val="clear" w:color="auto" w:fill="auto"/>
            <w:noWrap/>
            <w:vAlign w:val="center"/>
          </w:tcPr>
          <w:p w14:paraId="21EDB9D5"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103,9</w:t>
            </w:r>
          </w:p>
        </w:tc>
      </w:tr>
      <w:tr w:rsidR="00E818F7" w:rsidRPr="001116C5" w14:paraId="5A8F505C" w14:textId="77777777" w:rsidTr="0086616B">
        <w:trPr>
          <w:trHeight w:val="340"/>
        </w:trPr>
        <w:tc>
          <w:tcPr>
            <w:tcW w:w="1600" w:type="pct"/>
            <w:tcBorders>
              <w:top w:val="nil"/>
              <w:left w:val="nil"/>
              <w:bottom w:val="nil"/>
              <w:right w:val="nil"/>
            </w:tcBorders>
            <w:shd w:val="clear" w:color="auto" w:fill="auto"/>
            <w:vAlign w:val="center"/>
            <w:hideMark/>
          </w:tcPr>
          <w:p w14:paraId="46CD2D53"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 ostali rashodi za radnike</w:t>
            </w:r>
          </w:p>
        </w:tc>
        <w:tc>
          <w:tcPr>
            <w:tcW w:w="592" w:type="pct"/>
            <w:tcBorders>
              <w:top w:val="nil"/>
              <w:left w:val="nil"/>
              <w:bottom w:val="nil"/>
              <w:right w:val="nil"/>
            </w:tcBorders>
            <w:shd w:val="clear" w:color="auto" w:fill="auto"/>
            <w:noWrap/>
            <w:vAlign w:val="center"/>
            <w:hideMark/>
          </w:tcPr>
          <w:p w14:paraId="4850B1E7"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061</w:t>
            </w:r>
          </w:p>
        </w:tc>
        <w:tc>
          <w:tcPr>
            <w:tcW w:w="148" w:type="pct"/>
            <w:tcBorders>
              <w:top w:val="nil"/>
              <w:left w:val="nil"/>
              <w:bottom w:val="nil"/>
              <w:right w:val="nil"/>
            </w:tcBorders>
            <w:shd w:val="clear" w:color="auto" w:fill="auto"/>
            <w:vAlign w:val="center"/>
          </w:tcPr>
          <w:p w14:paraId="5AC5C235" w14:textId="77777777" w:rsidR="00E818F7" w:rsidRPr="001116C5" w:rsidRDefault="00E818F7" w:rsidP="0086616B">
            <w:pPr>
              <w:jc w:val="center"/>
              <w:rPr>
                <w:rFonts w:asciiTheme="minorHAnsi" w:hAnsiTheme="minorHAnsi" w:cstheme="minorHAnsi"/>
                <w:b/>
                <w:bCs/>
                <w:color w:val="000000"/>
                <w:szCs w:val="22"/>
              </w:rPr>
            </w:pPr>
          </w:p>
        </w:tc>
        <w:tc>
          <w:tcPr>
            <w:tcW w:w="578" w:type="pct"/>
            <w:tcBorders>
              <w:top w:val="single" w:sz="12" w:space="0" w:color="auto"/>
              <w:left w:val="nil"/>
              <w:bottom w:val="single" w:sz="12" w:space="0" w:color="auto"/>
              <w:right w:val="nil"/>
            </w:tcBorders>
            <w:shd w:val="clear" w:color="auto" w:fill="auto"/>
            <w:noWrap/>
            <w:vAlign w:val="center"/>
          </w:tcPr>
          <w:p w14:paraId="6FB85C8B"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27.235</w:t>
            </w:r>
          </w:p>
        </w:tc>
        <w:tc>
          <w:tcPr>
            <w:tcW w:w="134" w:type="pct"/>
            <w:tcBorders>
              <w:top w:val="nil"/>
              <w:left w:val="nil"/>
              <w:bottom w:val="nil"/>
              <w:right w:val="nil"/>
            </w:tcBorders>
            <w:shd w:val="clear" w:color="auto" w:fill="auto"/>
            <w:noWrap/>
            <w:vAlign w:val="center"/>
          </w:tcPr>
          <w:p w14:paraId="0EC332EA" w14:textId="77777777" w:rsidR="00E818F7" w:rsidRPr="001116C5" w:rsidRDefault="00E818F7" w:rsidP="0086616B">
            <w:pPr>
              <w:jc w:val="right"/>
              <w:rPr>
                <w:rFonts w:asciiTheme="minorHAnsi" w:hAnsiTheme="minorHAnsi" w:cstheme="minorHAnsi"/>
                <w:b/>
                <w:bCs/>
                <w:color w:val="000000"/>
                <w:szCs w:val="22"/>
              </w:rPr>
            </w:pPr>
          </w:p>
        </w:tc>
        <w:tc>
          <w:tcPr>
            <w:tcW w:w="578" w:type="pct"/>
            <w:tcBorders>
              <w:top w:val="single" w:sz="12" w:space="0" w:color="auto"/>
              <w:left w:val="nil"/>
              <w:bottom w:val="single" w:sz="12" w:space="0" w:color="auto"/>
              <w:right w:val="nil"/>
            </w:tcBorders>
            <w:shd w:val="clear" w:color="auto" w:fill="auto"/>
            <w:noWrap/>
            <w:vAlign w:val="center"/>
          </w:tcPr>
          <w:p w14:paraId="7184FC91"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28.306</w:t>
            </w:r>
          </w:p>
        </w:tc>
        <w:tc>
          <w:tcPr>
            <w:tcW w:w="134" w:type="pct"/>
            <w:tcBorders>
              <w:top w:val="nil"/>
              <w:left w:val="nil"/>
              <w:bottom w:val="nil"/>
              <w:right w:val="nil"/>
            </w:tcBorders>
            <w:shd w:val="clear" w:color="auto" w:fill="auto"/>
            <w:noWrap/>
            <w:vAlign w:val="center"/>
          </w:tcPr>
          <w:p w14:paraId="15DA4469" w14:textId="77777777" w:rsidR="00E818F7" w:rsidRPr="001116C5" w:rsidRDefault="00E818F7" w:rsidP="0086616B">
            <w:pPr>
              <w:jc w:val="right"/>
              <w:rPr>
                <w:rFonts w:asciiTheme="minorHAnsi" w:hAnsiTheme="minorHAnsi" w:cstheme="minorHAnsi"/>
                <w:b/>
                <w:bCs/>
                <w:color w:val="000000"/>
                <w:szCs w:val="22"/>
              </w:rPr>
            </w:pPr>
          </w:p>
        </w:tc>
        <w:tc>
          <w:tcPr>
            <w:tcW w:w="569" w:type="pct"/>
            <w:tcBorders>
              <w:top w:val="single" w:sz="12" w:space="0" w:color="auto"/>
              <w:left w:val="nil"/>
              <w:bottom w:val="single" w:sz="12" w:space="0" w:color="auto"/>
              <w:right w:val="nil"/>
            </w:tcBorders>
            <w:shd w:val="clear" w:color="auto" w:fill="auto"/>
            <w:noWrap/>
            <w:vAlign w:val="center"/>
          </w:tcPr>
          <w:p w14:paraId="717F1BD3"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1.071</w:t>
            </w:r>
          </w:p>
        </w:tc>
        <w:tc>
          <w:tcPr>
            <w:tcW w:w="139" w:type="pct"/>
            <w:tcBorders>
              <w:top w:val="nil"/>
              <w:left w:val="nil"/>
              <w:bottom w:val="nil"/>
              <w:right w:val="nil"/>
            </w:tcBorders>
            <w:shd w:val="clear" w:color="auto" w:fill="auto"/>
            <w:noWrap/>
            <w:vAlign w:val="center"/>
          </w:tcPr>
          <w:p w14:paraId="345B69E2" w14:textId="77777777" w:rsidR="00E818F7" w:rsidRPr="001116C5" w:rsidRDefault="00E818F7" w:rsidP="0086616B">
            <w:pPr>
              <w:jc w:val="right"/>
              <w:rPr>
                <w:rFonts w:asciiTheme="minorHAnsi" w:hAnsiTheme="minorHAnsi" w:cstheme="minorHAnsi"/>
                <w:b/>
                <w:bCs/>
                <w:color w:val="000000"/>
                <w:szCs w:val="22"/>
              </w:rPr>
            </w:pPr>
          </w:p>
        </w:tc>
        <w:tc>
          <w:tcPr>
            <w:tcW w:w="529" w:type="pct"/>
            <w:tcBorders>
              <w:top w:val="single" w:sz="12" w:space="0" w:color="auto"/>
              <w:left w:val="nil"/>
              <w:bottom w:val="single" w:sz="12" w:space="0" w:color="auto"/>
              <w:right w:val="nil"/>
            </w:tcBorders>
            <w:shd w:val="clear" w:color="auto" w:fill="auto"/>
            <w:noWrap/>
            <w:vAlign w:val="center"/>
          </w:tcPr>
          <w:p w14:paraId="31F9E33C"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103,9</w:t>
            </w:r>
          </w:p>
        </w:tc>
      </w:tr>
      <w:tr w:rsidR="00E818F7" w:rsidRPr="001116C5" w14:paraId="0AEB45DE" w14:textId="77777777" w:rsidTr="0086616B">
        <w:trPr>
          <w:trHeight w:val="340"/>
        </w:trPr>
        <w:tc>
          <w:tcPr>
            <w:tcW w:w="1600" w:type="pct"/>
            <w:tcBorders>
              <w:top w:val="nil"/>
              <w:left w:val="nil"/>
              <w:bottom w:val="nil"/>
              <w:right w:val="nil"/>
            </w:tcBorders>
            <w:shd w:val="clear" w:color="auto" w:fill="auto"/>
            <w:vAlign w:val="center"/>
            <w:hideMark/>
          </w:tcPr>
          <w:p w14:paraId="470AB1E9"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Doprinosi za zdravstveno osiguranje</w:t>
            </w:r>
          </w:p>
        </w:tc>
        <w:tc>
          <w:tcPr>
            <w:tcW w:w="592" w:type="pct"/>
            <w:tcBorders>
              <w:top w:val="nil"/>
              <w:left w:val="nil"/>
              <w:bottom w:val="nil"/>
              <w:right w:val="nil"/>
            </w:tcBorders>
            <w:shd w:val="clear" w:color="auto" w:fill="auto"/>
            <w:noWrap/>
            <w:vAlign w:val="center"/>
            <w:hideMark/>
          </w:tcPr>
          <w:p w14:paraId="00582558"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063</w:t>
            </w:r>
          </w:p>
        </w:tc>
        <w:tc>
          <w:tcPr>
            <w:tcW w:w="148" w:type="pct"/>
            <w:tcBorders>
              <w:top w:val="nil"/>
              <w:left w:val="nil"/>
              <w:bottom w:val="nil"/>
              <w:right w:val="nil"/>
            </w:tcBorders>
            <w:shd w:val="clear" w:color="auto" w:fill="auto"/>
            <w:vAlign w:val="center"/>
          </w:tcPr>
          <w:p w14:paraId="509D5172" w14:textId="77777777" w:rsidR="00E818F7" w:rsidRPr="001116C5" w:rsidRDefault="00E818F7" w:rsidP="0086616B">
            <w:pPr>
              <w:jc w:val="center"/>
              <w:rPr>
                <w:rFonts w:asciiTheme="minorHAnsi" w:hAnsiTheme="minorHAnsi" w:cstheme="minorHAnsi"/>
                <w:color w:val="000000"/>
                <w:szCs w:val="22"/>
              </w:rPr>
            </w:pPr>
          </w:p>
        </w:tc>
        <w:tc>
          <w:tcPr>
            <w:tcW w:w="578" w:type="pct"/>
            <w:tcBorders>
              <w:top w:val="nil"/>
              <w:left w:val="nil"/>
              <w:bottom w:val="single" w:sz="12" w:space="0" w:color="auto"/>
              <w:right w:val="nil"/>
            </w:tcBorders>
            <w:shd w:val="clear" w:color="auto" w:fill="auto"/>
            <w:noWrap/>
            <w:vAlign w:val="center"/>
          </w:tcPr>
          <w:p w14:paraId="3E4A704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87.311</w:t>
            </w:r>
          </w:p>
        </w:tc>
        <w:tc>
          <w:tcPr>
            <w:tcW w:w="134" w:type="pct"/>
            <w:tcBorders>
              <w:top w:val="nil"/>
              <w:left w:val="nil"/>
              <w:bottom w:val="nil"/>
              <w:right w:val="nil"/>
            </w:tcBorders>
            <w:shd w:val="clear" w:color="auto" w:fill="auto"/>
            <w:noWrap/>
            <w:vAlign w:val="center"/>
          </w:tcPr>
          <w:p w14:paraId="48C18724" w14:textId="77777777" w:rsidR="00E818F7" w:rsidRPr="001116C5" w:rsidRDefault="00E818F7" w:rsidP="0086616B">
            <w:pPr>
              <w:jc w:val="right"/>
              <w:rPr>
                <w:rFonts w:asciiTheme="minorHAnsi" w:hAnsiTheme="minorHAnsi" w:cstheme="minorHAnsi"/>
                <w:color w:val="000000"/>
                <w:szCs w:val="22"/>
              </w:rPr>
            </w:pPr>
          </w:p>
        </w:tc>
        <w:tc>
          <w:tcPr>
            <w:tcW w:w="578" w:type="pct"/>
            <w:tcBorders>
              <w:top w:val="nil"/>
              <w:left w:val="nil"/>
              <w:bottom w:val="single" w:sz="12" w:space="0" w:color="auto"/>
              <w:right w:val="nil"/>
            </w:tcBorders>
            <w:shd w:val="clear" w:color="auto" w:fill="auto"/>
            <w:noWrap/>
            <w:vAlign w:val="center"/>
          </w:tcPr>
          <w:p w14:paraId="436A50E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96.477</w:t>
            </w:r>
          </w:p>
        </w:tc>
        <w:tc>
          <w:tcPr>
            <w:tcW w:w="134" w:type="pct"/>
            <w:tcBorders>
              <w:top w:val="nil"/>
              <w:left w:val="nil"/>
              <w:bottom w:val="nil"/>
              <w:right w:val="nil"/>
            </w:tcBorders>
            <w:shd w:val="clear" w:color="auto" w:fill="auto"/>
            <w:noWrap/>
            <w:vAlign w:val="center"/>
          </w:tcPr>
          <w:p w14:paraId="60ADE204" w14:textId="77777777" w:rsidR="00E818F7" w:rsidRPr="001116C5" w:rsidRDefault="00E818F7" w:rsidP="0086616B">
            <w:pPr>
              <w:jc w:val="right"/>
              <w:rPr>
                <w:rFonts w:asciiTheme="minorHAnsi" w:hAnsiTheme="minorHAnsi" w:cstheme="minorHAnsi"/>
                <w:color w:val="000000"/>
                <w:szCs w:val="22"/>
              </w:rPr>
            </w:pPr>
          </w:p>
        </w:tc>
        <w:tc>
          <w:tcPr>
            <w:tcW w:w="569" w:type="pct"/>
            <w:tcBorders>
              <w:top w:val="nil"/>
              <w:left w:val="nil"/>
              <w:bottom w:val="single" w:sz="12" w:space="0" w:color="auto"/>
              <w:right w:val="nil"/>
            </w:tcBorders>
            <w:shd w:val="clear" w:color="auto" w:fill="auto"/>
            <w:noWrap/>
            <w:vAlign w:val="center"/>
          </w:tcPr>
          <w:p w14:paraId="09C48D39"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9.166</w:t>
            </w:r>
          </w:p>
        </w:tc>
        <w:tc>
          <w:tcPr>
            <w:tcW w:w="139" w:type="pct"/>
            <w:tcBorders>
              <w:top w:val="nil"/>
              <w:left w:val="nil"/>
              <w:bottom w:val="nil"/>
              <w:right w:val="nil"/>
            </w:tcBorders>
            <w:shd w:val="clear" w:color="auto" w:fill="auto"/>
            <w:noWrap/>
            <w:vAlign w:val="center"/>
          </w:tcPr>
          <w:p w14:paraId="546A680C" w14:textId="77777777" w:rsidR="00E818F7" w:rsidRPr="001116C5" w:rsidRDefault="00E818F7" w:rsidP="0086616B">
            <w:pPr>
              <w:jc w:val="right"/>
              <w:rPr>
                <w:rFonts w:asciiTheme="minorHAnsi" w:hAnsiTheme="minorHAnsi" w:cstheme="minorHAnsi"/>
                <w:color w:val="000000"/>
                <w:szCs w:val="22"/>
              </w:rPr>
            </w:pPr>
          </w:p>
        </w:tc>
        <w:tc>
          <w:tcPr>
            <w:tcW w:w="529" w:type="pct"/>
            <w:tcBorders>
              <w:top w:val="nil"/>
              <w:left w:val="nil"/>
              <w:bottom w:val="single" w:sz="12" w:space="0" w:color="auto"/>
              <w:right w:val="nil"/>
            </w:tcBorders>
            <w:shd w:val="clear" w:color="auto" w:fill="auto"/>
            <w:noWrap/>
            <w:vAlign w:val="center"/>
          </w:tcPr>
          <w:p w14:paraId="112671E0"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110,5</w:t>
            </w:r>
          </w:p>
        </w:tc>
      </w:tr>
      <w:tr w:rsidR="00E818F7" w:rsidRPr="001116C5" w14:paraId="362AF7A2" w14:textId="77777777" w:rsidTr="0086616B">
        <w:trPr>
          <w:trHeight w:val="340"/>
        </w:trPr>
        <w:tc>
          <w:tcPr>
            <w:tcW w:w="1600" w:type="pct"/>
            <w:tcBorders>
              <w:top w:val="nil"/>
              <w:left w:val="nil"/>
              <w:bottom w:val="nil"/>
              <w:right w:val="nil"/>
            </w:tcBorders>
            <w:shd w:val="clear" w:color="auto" w:fill="auto"/>
            <w:noWrap/>
            <w:vAlign w:val="center"/>
            <w:hideMark/>
          </w:tcPr>
          <w:p w14:paraId="7EE3FE8E"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 doprinosi</w:t>
            </w:r>
          </w:p>
        </w:tc>
        <w:tc>
          <w:tcPr>
            <w:tcW w:w="592" w:type="pct"/>
            <w:tcBorders>
              <w:top w:val="nil"/>
              <w:left w:val="nil"/>
              <w:bottom w:val="nil"/>
              <w:right w:val="nil"/>
            </w:tcBorders>
            <w:shd w:val="clear" w:color="auto" w:fill="auto"/>
            <w:noWrap/>
            <w:vAlign w:val="center"/>
            <w:hideMark/>
          </w:tcPr>
          <w:p w14:paraId="0BA99489"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062</w:t>
            </w:r>
          </w:p>
        </w:tc>
        <w:tc>
          <w:tcPr>
            <w:tcW w:w="148" w:type="pct"/>
            <w:tcBorders>
              <w:top w:val="nil"/>
              <w:left w:val="nil"/>
              <w:bottom w:val="nil"/>
              <w:right w:val="nil"/>
            </w:tcBorders>
            <w:shd w:val="clear" w:color="auto" w:fill="auto"/>
            <w:vAlign w:val="center"/>
          </w:tcPr>
          <w:p w14:paraId="03B4047F" w14:textId="77777777" w:rsidR="00E818F7" w:rsidRPr="001116C5" w:rsidRDefault="00E818F7" w:rsidP="0086616B">
            <w:pPr>
              <w:jc w:val="center"/>
              <w:rPr>
                <w:rFonts w:asciiTheme="minorHAnsi" w:hAnsiTheme="minorHAnsi" w:cstheme="minorHAnsi"/>
                <w:b/>
                <w:bCs/>
                <w:color w:val="000000"/>
                <w:szCs w:val="22"/>
              </w:rPr>
            </w:pPr>
          </w:p>
        </w:tc>
        <w:tc>
          <w:tcPr>
            <w:tcW w:w="578" w:type="pct"/>
            <w:tcBorders>
              <w:top w:val="single" w:sz="12" w:space="0" w:color="auto"/>
              <w:left w:val="nil"/>
              <w:bottom w:val="single" w:sz="12" w:space="0" w:color="auto"/>
              <w:right w:val="nil"/>
            </w:tcBorders>
            <w:shd w:val="clear" w:color="auto" w:fill="auto"/>
            <w:noWrap/>
            <w:vAlign w:val="center"/>
          </w:tcPr>
          <w:p w14:paraId="2C1D1C82"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87.311</w:t>
            </w:r>
          </w:p>
        </w:tc>
        <w:tc>
          <w:tcPr>
            <w:tcW w:w="134" w:type="pct"/>
            <w:tcBorders>
              <w:top w:val="nil"/>
              <w:left w:val="nil"/>
              <w:bottom w:val="nil"/>
              <w:right w:val="nil"/>
            </w:tcBorders>
            <w:shd w:val="clear" w:color="auto" w:fill="auto"/>
            <w:noWrap/>
            <w:vAlign w:val="center"/>
          </w:tcPr>
          <w:p w14:paraId="73DB6CAF" w14:textId="77777777" w:rsidR="00E818F7" w:rsidRPr="001116C5" w:rsidRDefault="00E818F7" w:rsidP="0086616B">
            <w:pPr>
              <w:jc w:val="right"/>
              <w:rPr>
                <w:rFonts w:asciiTheme="minorHAnsi" w:hAnsiTheme="minorHAnsi" w:cstheme="minorHAnsi"/>
                <w:b/>
                <w:bCs/>
                <w:color w:val="000000"/>
                <w:szCs w:val="22"/>
              </w:rPr>
            </w:pPr>
          </w:p>
        </w:tc>
        <w:tc>
          <w:tcPr>
            <w:tcW w:w="578" w:type="pct"/>
            <w:tcBorders>
              <w:top w:val="single" w:sz="12" w:space="0" w:color="auto"/>
              <w:left w:val="nil"/>
              <w:bottom w:val="single" w:sz="12" w:space="0" w:color="auto"/>
              <w:right w:val="nil"/>
            </w:tcBorders>
            <w:shd w:val="clear" w:color="auto" w:fill="auto"/>
            <w:noWrap/>
            <w:vAlign w:val="center"/>
          </w:tcPr>
          <w:p w14:paraId="43E55E06"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96.477</w:t>
            </w:r>
          </w:p>
        </w:tc>
        <w:tc>
          <w:tcPr>
            <w:tcW w:w="134" w:type="pct"/>
            <w:tcBorders>
              <w:top w:val="nil"/>
              <w:left w:val="nil"/>
              <w:bottom w:val="nil"/>
              <w:right w:val="nil"/>
            </w:tcBorders>
            <w:shd w:val="clear" w:color="auto" w:fill="auto"/>
            <w:noWrap/>
            <w:vAlign w:val="center"/>
          </w:tcPr>
          <w:p w14:paraId="5154EE1C" w14:textId="77777777" w:rsidR="00E818F7" w:rsidRPr="001116C5" w:rsidRDefault="00E818F7" w:rsidP="0086616B">
            <w:pPr>
              <w:jc w:val="right"/>
              <w:rPr>
                <w:rFonts w:asciiTheme="minorHAnsi" w:hAnsiTheme="minorHAnsi" w:cstheme="minorHAnsi"/>
                <w:b/>
                <w:bCs/>
                <w:color w:val="000000"/>
                <w:szCs w:val="22"/>
              </w:rPr>
            </w:pPr>
          </w:p>
        </w:tc>
        <w:tc>
          <w:tcPr>
            <w:tcW w:w="569" w:type="pct"/>
            <w:tcBorders>
              <w:top w:val="single" w:sz="12" w:space="0" w:color="auto"/>
              <w:left w:val="nil"/>
              <w:bottom w:val="single" w:sz="12" w:space="0" w:color="auto"/>
              <w:right w:val="nil"/>
            </w:tcBorders>
            <w:shd w:val="clear" w:color="auto" w:fill="auto"/>
            <w:noWrap/>
            <w:vAlign w:val="center"/>
          </w:tcPr>
          <w:p w14:paraId="423F9185"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9.166</w:t>
            </w:r>
          </w:p>
        </w:tc>
        <w:tc>
          <w:tcPr>
            <w:tcW w:w="139" w:type="pct"/>
            <w:tcBorders>
              <w:top w:val="nil"/>
              <w:left w:val="nil"/>
              <w:bottom w:val="nil"/>
              <w:right w:val="nil"/>
            </w:tcBorders>
            <w:shd w:val="clear" w:color="auto" w:fill="auto"/>
            <w:noWrap/>
            <w:vAlign w:val="center"/>
          </w:tcPr>
          <w:p w14:paraId="1BBE83FE" w14:textId="77777777" w:rsidR="00E818F7" w:rsidRPr="001116C5" w:rsidRDefault="00E818F7" w:rsidP="0086616B">
            <w:pPr>
              <w:jc w:val="right"/>
              <w:rPr>
                <w:rFonts w:asciiTheme="minorHAnsi" w:hAnsiTheme="minorHAnsi" w:cstheme="minorHAnsi"/>
                <w:b/>
                <w:bCs/>
                <w:color w:val="000000"/>
                <w:szCs w:val="22"/>
              </w:rPr>
            </w:pPr>
          </w:p>
        </w:tc>
        <w:tc>
          <w:tcPr>
            <w:tcW w:w="529" w:type="pct"/>
            <w:tcBorders>
              <w:top w:val="single" w:sz="12" w:space="0" w:color="auto"/>
              <w:left w:val="nil"/>
              <w:bottom w:val="single" w:sz="12" w:space="0" w:color="auto"/>
              <w:right w:val="nil"/>
            </w:tcBorders>
            <w:shd w:val="clear" w:color="auto" w:fill="auto"/>
            <w:noWrap/>
            <w:vAlign w:val="center"/>
          </w:tcPr>
          <w:p w14:paraId="76DA7798"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110,5</w:t>
            </w:r>
          </w:p>
        </w:tc>
      </w:tr>
      <w:tr w:rsidR="00E818F7" w:rsidRPr="001116C5" w14:paraId="23318375" w14:textId="77777777" w:rsidTr="0086616B">
        <w:trPr>
          <w:trHeight w:val="340"/>
        </w:trPr>
        <w:tc>
          <w:tcPr>
            <w:tcW w:w="1600" w:type="pct"/>
            <w:tcBorders>
              <w:top w:val="nil"/>
              <w:left w:val="nil"/>
              <w:bottom w:val="nil"/>
              <w:right w:val="nil"/>
            </w:tcBorders>
            <w:shd w:val="clear" w:color="auto" w:fill="auto"/>
            <w:noWrap/>
            <w:vAlign w:val="center"/>
            <w:hideMark/>
          </w:tcPr>
          <w:p w14:paraId="296ACD9B"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w:t>
            </w:r>
          </w:p>
        </w:tc>
        <w:tc>
          <w:tcPr>
            <w:tcW w:w="592" w:type="pct"/>
            <w:tcBorders>
              <w:top w:val="nil"/>
              <w:left w:val="nil"/>
              <w:bottom w:val="nil"/>
              <w:right w:val="nil"/>
            </w:tcBorders>
            <w:shd w:val="clear" w:color="auto" w:fill="auto"/>
            <w:noWrap/>
            <w:vAlign w:val="center"/>
            <w:hideMark/>
          </w:tcPr>
          <w:p w14:paraId="015E7F4A"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055</w:t>
            </w:r>
          </w:p>
        </w:tc>
        <w:tc>
          <w:tcPr>
            <w:tcW w:w="148" w:type="pct"/>
            <w:tcBorders>
              <w:top w:val="nil"/>
              <w:left w:val="nil"/>
              <w:bottom w:val="nil"/>
              <w:right w:val="nil"/>
            </w:tcBorders>
            <w:shd w:val="clear" w:color="auto" w:fill="auto"/>
            <w:vAlign w:val="center"/>
          </w:tcPr>
          <w:p w14:paraId="2145F467" w14:textId="77777777" w:rsidR="00E818F7" w:rsidRPr="001116C5" w:rsidRDefault="00E818F7" w:rsidP="0086616B">
            <w:pPr>
              <w:jc w:val="center"/>
              <w:rPr>
                <w:rFonts w:asciiTheme="minorHAnsi" w:hAnsiTheme="minorHAnsi" w:cstheme="minorHAnsi"/>
                <w:b/>
                <w:bCs/>
                <w:color w:val="000000"/>
                <w:szCs w:val="22"/>
              </w:rPr>
            </w:pPr>
          </w:p>
        </w:tc>
        <w:tc>
          <w:tcPr>
            <w:tcW w:w="578" w:type="pct"/>
            <w:tcBorders>
              <w:top w:val="nil"/>
              <w:left w:val="nil"/>
              <w:bottom w:val="single" w:sz="12" w:space="0" w:color="auto"/>
              <w:right w:val="nil"/>
            </w:tcBorders>
            <w:shd w:val="clear" w:color="auto" w:fill="auto"/>
            <w:noWrap/>
            <w:vAlign w:val="center"/>
          </w:tcPr>
          <w:p w14:paraId="13BDE7F1"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643.704</w:t>
            </w:r>
          </w:p>
        </w:tc>
        <w:tc>
          <w:tcPr>
            <w:tcW w:w="134" w:type="pct"/>
            <w:tcBorders>
              <w:top w:val="nil"/>
              <w:left w:val="nil"/>
              <w:bottom w:val="nil"/>
              <w:right w:val="nil"/>
            </w:tcBorders>
            <w:shd w:val="clear" w:color="auto" w:fill="auto"/>
            <w:noWrap/>
            <w:vAlign w:val="center"/>
          </w:tcPr>
          <w:p w14:paraId="7777C354" w14:textId="77777777" w:rsidR="00E818F7" w:rsidRPr="001116C5" w:rsidRDefault="00E818F7" w:rsidP="0086616B">
            <w:pPr>
              <w:jc w:val="right"/>
              <w:rPr>
                <w:rFonts w:asciiTheme="minorHAnsi" w:hAnsiTheme="minorHAnsi" w:cstheme="minorHAnsi"/>
                <w:b/>
                <w:bCs/>
                <w:color w:val="000000"/>
                <w:szCs w:val="22"/>
              </w:rPr>
            </w:pPr>
          </w:p>
        </w:tc>
        <w:tc>
          <w:tcPr>
            <w:tcW w:w="578" w:type="pct"/>
            <w:tcBorders>
              <w:top w:val="nil"/>
              <w:left w:val="nil"/>
              <w:bottom w:val="single" w:sz="12" w:space="0" w:color="auto"/>
              <w:right w:val="nil"/>
            </w:tcBorders>
            <w:shd w:val="clear" w:color="auto" w:fill="auto"/>
            <w:noWrap/>
            <w:vAlign w:val="center"/>
          </w:tcPr>
          <w:p w14:paraId="488D6D9B"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709.494</w:t>
            </w:r>
          </w:p>
        </w:tc>
        <w:tc>
          <w:tcPr>
            <w:tcW w:w="134" w:type="pct"/>
            <w:tcBorders>
              <w:top w:val="nil"/>
              <w:left w:val="nil"/>
              <w:bottom w:val="nil"/>
              <w:right w:val="nil"/>
            </w:tcBorders>
            <w:shd w:val="clear" w:color="auto" w:fill="auto"/>
            <w:noWrap/>
            <w:vAlign w:val="center"/>
          </w:tcPr>
          <w:p w14:paraId="74B2ADBF" w14:textId="77777777" w:rsidR="00E818F7" w:rsidRPr="001116C5" w:rsidRDefault="00E818F7" w:rsidP="0086616B">
            <w:pPr>
              <w:jc w:val="right"/>
              <w:rPr>
                <w:rFonts w:asciiTheme="minorHAnsi" w:hAnsiTheme="minorHAnsi" w:cstheme="minorHAnsi"/>
                <w:b/>
                <w:bCs/>
                <w:color w:val="000000"/>
                <w:szCs w:val="22"/>
              </w:rPr>
            </w:pPr>
          </w:p>
        </w:tc>
        <w:tc>
          <w:tcPr>
            <w:tcW w:w="569" w:type="pct"/>
            <w:tcBorders>
              <w:top w:val="nil"/>
              <w:left w:val="nil"/>
              <w:bottom w:val="single" w:sz="12" w:space="0" w:color="auto"/>
              <w:right w:val="nil"/>
            </w:tcBorders>
            <w:shd w:val="clear" w:color="auto" w:fill="auto"/>
            <w:noWrap/>
            <w:vAlign w:val="center"/>
          </w:tcPr>
          <w:p w14:paraId="05C05B72"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65.790</w:t>
            </w:r>
          </w:p>
        </w:tc>
        <w:tc>
          <w:tcPr>
            <w:tcW w:w="139" w:type="pct"/>
            <w:tcBorders>
              <w:top w:val="nil"/>
              <w:left w:val="nil"/>
              <w:bottom w:val="nil"/>
              <w:right w:val="nil"/>
            </w:tcBorders>
            <w:shd w:val="clear" w:color="auto" w:fill="auto"/>
            <w:noWrap/>
            <w:vAlign w:val="center"/>
          </w:tcPr>
          <w:p w14:paraId="3F80DCFC" w14:textId="77777777" w:rsidR="00E818F7" w:rsidRPr="001116C5" w:rsidRDefault="00E818F7" w:rsidP="0086616B">
            <w:pPr>
              <w:jc w:val="right"/>
              <w:rPr>
                <w:rFonts w:asciiTheme="minorHAnsi" w:hAnsiTheme="minorHAnsi" w:cstheme="minorHAnsi"/>
                <w:b/>
                <w:bCs/>
                <w:color w:val="000000"/>
                <w:szCs w:val="22"/>
              </w:rPr>
            </w:pPr>
          </w:p>
        </w:tc>
        <w:tc>
          <w:tcPr>
            <w:tcW w:w="529" w:type="pct"/>
            <w:tcBorders>
              <w:top w:val="nil"/>
              <w:left w:val="nil"/>
              <w:bottom w:val="single" w:sz="12" w:space="0" w:color="auto"/>
              <w:right w:val="nil"/>
            </w:tcBorders>
            <w:shd w:val="clear" w:color="auto" w:fill="auto"/>
            <w:noWrap/>
            <w:vAlign w:val="center"/>
          </w:tcPr>
          <w:p w14:paraId="4DAA8EB5"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110,2</w:t>
            </w:r>
          </w:p>
        </w:tc>
      </w:tr>
    </w:tbl>
    <w:p w14:paraId="3D8CE0D8" w14:textId="77777777" w:rsidR="00E818F7" w:rsidRPr="001116C5" w:rsidRDefault="00E818F7" w:rsidP="00E818F7">
      <w:pPr>
        <w:pStyle w:val="BodyText3"/>
        <w:rPr>
          <w:rFonts w:asciiTheme="minorHAnsi" w:hAnsiTheme="minorHAnsi" w:cstheme="minorHAnsi"/>
          <w:b/>
          <w:sz w:val="22"/>
          <w:szCs w:val="22"/>
        </w:rPr>
      </w:pPr>
    </w:p>
    <w:p w14:paraId="609A80EE"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rPr>
      </w:pPr>
    </w:p>
    <w:p w14:paraId="225108B9"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rPr>
      </w:pPr>
      <w:r w:rsidRPr="001116C5">
        <w:rPr>
          <w:rFonts w:asciiTheme="minorHAnsi" w:hAnsiTheme="minorHAnsi" w:cstheme="minorHAnsi"/>
          <w:szCs w:val="22"/>
        </w:rPr>
        <w:t>U strukturi ukupnog rashoda ostvarenog u 2023. godini, rashodi za radnike čine 48,2 % ukupnog rashoda (2022: 66,1 %).</w:t>
      </w:r>
    </w:p>
    <w:p w14:paraId="19C86804"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rPr>
      </w:pPr>
      <w:r w:rsidRPr="001116C5">
        <w:rPr>
          <w:rFonts w:asciiTheme="minorHAnsi" w:hAnsiTheme="minorHAnsi" w:cstheme="minorHAnsi"/>
          <w:szCs w:val="22"/>
        </w:rPr>
        <w:t>U 2023. godini Rashodi za radnike su se povećali za 10,2 % zbog povećanja vrijednosti boda.</w:t>
      </w:r>
    </w:p>
    <w:p w14:paraId="384B2DE1"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rPr>
      </w:pPr>
    </w:p>
    <w:p w14:paraId="372BF511"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rPr>
      </w:pPr>
      <w:r w:rsidRPr="001116C5">
        <w:rPr>
          <w:rFonts w:asciiTheme="minorHAnsi" w:hAnsiTheme="minorHAnsi" w:cstheme="minorHAnsi"/>
          <w:b/>
          <w:i/>
          <w:szCs w:val="22"/>
        </w:rPr>
        <w:t xml:space="preserve">AOP 057 Plaće za redovan rad: </w:t>
      </w:r>
    </w:p>
    <w:tbl>
      <w:tblPr>
        <w:tblW w:w="9356" w:type="dxa"/>
        <w:tblInd w:w="108" w:type="dxa"/>
        <w:tblLook w:val="04A0" w:firstRow="1" w:lastRow="0" w:firstColumn="1" w:lastColumn="0" w:noHBand="0" w:noVBand="1"/>
      </w:tblPr>
      <w:tblGrid>
        <w:gridCol w:w="2977"/>
        <w:gridCol w:w="1134"/>
        <w:gridCol w:w="299"/>
        <w:gridCol w:w="1106"/>
        <w:gridCol w:w="288"/>
        <w:gridCol w:w="1106"/>
        <w:gridCol w:w="270"/>
        <w:gridCol w:w="1030"/>
        <w:gridCol w:w="270"/>
        <w:gridCol w:w="876"/>
      </w:tblGrid>
      <w:tr w:rsidR="00E818F7" w:rsidRPr="001116C5" w14:paraId="57B9DEDC" w14:textId="77777777" w:rsidTr="0086616B">
        <w:trPr>
          <w:trHeight w:val="288"/>
        </w:trPr>
        <w:tc>
          <w:tcPr>
            <w:tcW w:w="2977" w:type="dxa"/>
            <w:tcBorders>
              <w:top w:val="nil"/>
              <w:left w:val="nil"/>
              <w:bottom w:val="nil"/>
              <w:right w:val="nil"/>
            </w:tcBorders>
            <w:shd w:val="clear" w:color="auto" w:fill="auto"/>
            <w:noWrap/>
            <w:vAlign w:val="center"/>
            <w:hideMark/>
          </w:tcPr>
          <w:p w14:paraId="2C656F55" w14:textId="77777777" w:rsidR="00E818F7" w:rsidRPr="001116C5" w:rsidRDefault="00E818F7" w:rsidP="0086616B">
            <w:pPr>
              <w:rPr>
                <w:rFonts w:asciiTheme="minorHAnsi" w:hAnsiTheme="minorHAnsi" w:cstheme="minorHAnsi"/>
                <w:szCs w:val="22"/>
              </w:rPr>
            </w:pPr>
          </w:p>
        </w:tc>
        <w:tc>
          <w:tcPr>
            <w:tcW w:w="1134" w:type="dxa"/>
            <w:tcBorders>
              <w:top w:val="nil"/>
              <w:left w:val="nil"/>
              <w:bottom w:val="nil"/>
              <w:right w:val="nil"/>
            </w:tcBorders>
            <w:shd w:val="clear" w:color="auto" w:fill="auto"/>
            <w:noWrap/>
            <w:vAlign w:val="center"/>
            <w:hideMark/>
          </w:tcPr>
          <w:p w14:paraId="4A6CE7C5" w14:textId="77777777" w:rsidR="00E818F7" w:rsidRPr="001116C5" w:rsidRDefault="00E818F7" w:rsidP="0086616B">
            <w:pPr>
              <w:rPr>
                <w:rFonts w:asciiTheme="minorHAnsi" w:hAnsiTheme="minorHAnsi" w:cstheme="minorHAnsi"/>
                <w:szCs w:val="22"/>
              </w:rPr>
            </w:pPr>
          </w:p>
        </w:tc>
        <w:tc>
          <w:tcPr>
            <w:tcW w:w="299" w:type="dxa"/>
            <w:tcBorders>
              <w:top w:val="nil"/>
              <w:left w:val="nil"/>
              <w:bottom w:val="nil"/>
              <w:right w:val="nil"/>
            </w:tcBorders>
            <w:shd w:val="clear" w:color="auto" w:fill="auto"/>
            <w:noWrap/>
            <w:vAlign w:val="center"/>
            <w:hideMark/>
          </w:tcPr>
          <w:p w14:paraId="4F044CE1" w14:textId="77777777" w:rsidR="00E818F7" w:rsidRPr="001116C5" w:rsidRDefault="00E818F7" w:rsidP="0086616B">
            <w:pPr>
              <w:rPr>
                <w:rFonts w:asciiTheme="minorHAnsi" w:hAnsiTheme="minorHAnsi" w:cstheme="minorHAnsi"/>
                <w:szCs w:val="22"/>
              </w:rPr>
            </w:pPr>
          </w:p>
        </w:tc>
        <w:tc>
          <w:tcPr>
            <w:tcW w:w="1106" w:type="dxa"/>
            <w:tcBorders>
              <w:top w:val="nil"/>
              <w:left w:val="nil"/>
              <w:bottom w:val="single" w:sz="12" w:space="0" w:color="auto"/>
              <w:right w:val="nil"/>
            </w:tcBorders>
            <w:shd w:val="clear" w:color="auto" w:fill="auto"/>
            <w:noWrap/>
            <w:vAlign w:val="center"/>
          </w:tcPr>
          <w:p w14:paraId="7306252F"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2022.</w:t>
            </w:r>
          </w:p>
        </w:tc>
        <w:tc>
          <w:tcPr>
            <w:tcW w:w="288" w:type="dxa"/>
            <w:tcBorders>
              <w:top w:val="nil"/>
              <w:left w:val="nil"/>
              <w:bottom w:val="nil"/>
              <w:right w:val="nil"/>
            </w:tcBorders>
            <w:shd w:val="clear" w:color="auto" w:fill="auto"/>
            <w:noWrap/>
            <w:vAlign w:val="center"/>
          </w:tcPr>
          <w:p w14:paraId="4DCD66EC" w14:textId="77777777" w:rsidR="00E818F7" w:rsidRPr="001116C5" w:rsidRDefault="00E818F7" w:rsidP="0086616B">
            <w:pPr>
              <w:jc w:val="center"/>
              <w:rPr>
                <w:rFonts w:asciiTheme="minorHAnsi" w:hAnsiTheme="minorHAnsi" w:cstheme="minorHAnsi"/>
                <w:b/>
                <w:bCs/>
                <w:color w:val="000000"/>
                <w:szCs w:val="22"/>
              </w:rPr>
            </w:pPr>
          </w:p>
        </w:tc>
        <w:tc>
          <w:tcPr>
            <w:tcW w:w="1106" w:type="dxa"/>
            <w:tcBorders>
              <w:top w:val="nil"/>
              <w:left w:val="nil"/>
              <w:bottom w:val="single" w:sz="12" w:space="0" w:color="auto"/>
              <w:right w:val="nil"/>
            </w:tcBorders>
            <w:shd w:val="clear" w:color="auto" w:fill="auto"/>
            <w:noWrap/>
            <w:vAlign w:val="center"/>
          </w:tcPr>
          <w:p w14:paraId="5BF24679"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2023.</w:t>
            </w:r>
          </w:p>
        </w:tc>
        <w:tc>
          <w:tcPr>
            <w:tcW w:w="270" w:type="dxa"/>
            <w:tcBorders>
              <w:top w:val="nil"/>
              <w:left w:val="nil"/>
              <w:bottom w:val="nil"/>
              <w:right w:val="nil"/>
            </w:tcBorders>
            <w:shd w:val="clear" w:color="auto" w:fill="auto"/>
            <w:noWrap/>
            <w:vAlign w:val="center"/>
          </w:tcPr>
          <w:p w14:paraId="78866885" w14:textId="77777777" w:rsidR="00E818F7" w:rsidRPr="001116C5" w:rsidRDefault="00E818F7" w:rsidP="0086616B">
            <w:pPr>
              <w:jc w:val="center"/>
              <w:rPr>
                <w:rFonts w:asciiTheme="minorHAnsi" w:hAnsiTheme="minorHAnsi" w:cstheme="minorHAnsi"/>
                <w:b/>
                <w:bCs/>
                <w:color w:val="000000"/>
                <w:szCs w:val="22"/>
              </w:rPr>
            </w:pPr>
          </w:p>
        </w:tc>
        <w:tc>
          <w:tcPr>
            <w:tcW w:w="1030" w:type="dxa"/>
            <w:tcBorders>
              <w:top w:val="nil"/>
              <w:left w:val="nil"/>
              <w:bottom w:val="single" w:sz="12" w:space="0" w:color="auto"/>
              <w:right w:val="nil"/>
            </w:tcBorders>
            <w:shd w:val="clear" w:color="auto" w:fill="auto"/>
            <w:noWrap/>
            <w:vAlign w:val="center"/>
          </w:tcPr>
          <w:p w14:paraId="5764AAFB"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Razlika</w:t>
            </w:r>
          </w:p>
        </w:tc>
        <w:tc>
          <w:tcPr>
            <w:tcW w:w="270" w:type="dxa"/>
            <w:tcBorders>
              <w:top w:val="nil"/>
              <w:left w:val="nil"/>
              <w:bottom w:val="nil"/>
              <w:right w:val="nil"/>
            </w:tcBorders>
            <w:shd w:val="clear" w:color="auto" w:fill="auto"/>
            <w:noWrap/>
            <w:vAlign w:val="center"/>
          </w:tcPr>
          <w:p w14:paraId="4C0031FB" w14:textId="77777777" w:rsidR="00E818F7" w:rsidRPr="001116C5" w:rsidRDefault="00E818F7" w:rsidP="0086616B">
            <w:pPr>
              <w:jc w:val="center"/>
              <w:rPr>
                <w:rFonts w:asciiTheme="minorHAnsi" w:hAnsiTheme="minorHAnsi" w:cstheme="minorHAnsi"/>
                <w:b/>
                <w:bCs/>
                <w:color w:val="000000"/>
                <w:szCs w:val="22"/>
              </w:rPr>
            </w:pPr>
          </w:p>
        </w:tc>
        <w:tc>
          <w:tcPr>
            <w:tcW w:w="876" w:type="dxa"/>
            <w:tcBorders>
              <w:top w:val="nil"/>
              <w:left w:val="nil"/>
              <w:bottom w:val="single" w:sz="12" w:space="0" w:color="auto"/>
              <w:right w:val="nil"/>
            </w:tcBorders>
            <w:shd w:val="clear" w:color="auto" w:fill="auto"/>
            <w:noWrap/>
            <w:vAlign w:val="center"/>
          </w:tcPr>
          <w:p w14:paraId="3E8A3902"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Index</w:t>
            </w:r>
          </w:p>
        </w:tc>
      </w:tr>
      <w:tr w:rsidR="00E818F7" w:rsidRPr="001116C5" w14:paraId="529DC228" w14:textId="77777777" w:rsidTr="0086616B">
        <w:trPr>
          <w:trHeight w:val="288"/>
        </w:trPr>
        <w:tc>
          <w:tcPr>
            <w:tcW w:w="2977" w:type="dxa"/>
            <w:tcBorders>
              <w:top w:val="nil"/>
              <w:left w:val="nil"/>
              <w:bottom w:val="nil"/>
              <w:right w:val="nil"/>
            </w:tcBorders>
            <w:shd w:val="clear" w:color="auto" w:fill="auto"/>
            <w:vAlign w:val="center"/>
            <w:hideMark/>
          </w:tcPr>
          <w:p w14:paraId="10A795A9"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Neto plaća</w:t>
            </w:r>
          </w:p>
        </w:tc>
        <w:tc>
          <w:tcPr>
            <w:tcW w:w="1134" w:type="dxa"/>
            <w:tcBorders>
              <w:top w:val="nil"/>
              <w:left w:val="nil"/>
              <w:bottom w:val="nil"/>
              <w:right w:val="nil"/>
            </w:tcBorders>
            <w:shd w:val="clear" w:color="auto" w:fill="auto"/>
            <w:noWrap/>
            <w:vAlign w:val="center"/>
            <w:hideMark/>
          </w:tcPr>
          <w:p w14:paraId="082531EA" w14:textId="77777777" w:rsidR="00E818F7" w:rsidRPr="001116C5" w:rsidRDefault="00E818F7" w:rsidP="0086616B">
            <w:pPr>
              <w:rPr>
                <w:rFonts w:asciiTheme="minorHAnsi" w:hAnsiTheme="minorHAnsi" w:cstheme="minorHAnsi"/>
                <w:color w:val="000000"/>
                <w:szCs w:val="22"/>
              </w:rPr>
            </w:pPr>
          </w:p>
        </w:tc>
        <w:tc>
          <w:tcPr>
            <w:tcW w:w="299" w:type="dxa"/>
            <w:tcBorders>
              <w:top w:val="nil"/>
              <w:left w:val="nil"/>
              <w:bottom w:val="nil"/>
              <w:right w:val="nil"/>
            </w:tcBorders>
            <w:shd w:val="clear" w:color="auto" w:fill="auto"/>
            <w:noWrap/>
            <w:vAlign w:val="center"/>
            <w:hideMark/>
          </w:tcPr>
          <w:p w14:paraId="15F8965B" w14:textId="77777777" w:rsidR="00E818F7" w:rsidRPr="001116C5" w:rsidRDefault="00E818F7" w:rsidP="0086616B">
            <w:pPr>
              <w:jc w:val="center"/>
              <w:rPr>
                <w:rFonts w:asciiTheme="minorHAnsi" w:hAnsiTheme="minorHAnsi" w:cstheme="minorHAnsi"/>
                <w:szCs w:val="22"/>
              </w:rPr>
            </w:pPr>
          </w:p>
        </w:tc>
        <w:tc>
          <w:tcPr>
            <w:tcW w:w="1106" w:type="dxa"/>
            <w:tcBorders>
              <w:top w:val="nil"/>
              <w:left w:val="nil"/>
              <w:bottom w:val="nil"/>
              <w:right w:val="nil"/>
            </w:tcBorders>
            <w:shd w:val="clear" w:color="auto" w:fill="auto"/>
            <w:noWrap/>
            <w:vAlign w:val="center"/>
          </w:tcPr>
          <w:p w14:paraId="7CACEB4F"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342.752</w:t>
            </w:r>
          </w:p>
        </w:tc>
        <w:tc>
          <w:tcPr>
            <w:tcW w:w="288" w:type="dxa"/>
            <w:tcBorders>
              <w:top w:val="nil"/>
              <w:left w:val="nil"/>
              <w:bottom w:val="nil"/>
              <w:right w:val="nil"/>
            </w:tcBorders>
            <w:shd w:val="clear" w:color="auto" w:fill="auto"/>
            <w:noWrap/>
            <w:vAlign w:val="center"/>
          </w:tcPr>
          <w:p w14:paraId="10CC3621" w14:textId="77777777" w:rsidR="00E818F7" w:rsidRPr="001116C5" w:rsidRDefault="00E818F7" w:rsidP="0086616B">
            <w:pPr>
              <w:jc w:val="right"/>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0545505B"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382.739</w:t>
            </w:r>
          </w:p>
        </w:tc>
        <w:tc>
          <w:tcPr>
            <w:tcW w:w="270" w:type="dxa"/>
            <w:tcBorders>
              <w:top w:val="nil"/>
              <w:left w:val="nil"/>
              <w:bottom w:val="nil"/>
              <w:right w:val="nil"/>
            </w:tcBorders>
            <w:shd w:val="clear" w:color="auto" w:fill="auto"/>
            <w:noWrap/>
            <w:vAlign w:val="center"/>
          </w:tcPr>
          <w:p w14:paraId="4F2867A8" w14:textId="77777777" w:rsidR="00E818F7" w:rsidRPr="001116C5" w:rsidRDefault="00E818F7" w:rsidP="0086616B">
            <w:pPr>
              <w:jc w:val="right"/>
              <w:rPr>
                <w:rFonts w:asciiTheme="minorHAnsi" w:hAnsiTheme="minorHAnsi" w:cstheme="minorHAnsi"/>
                <w:color w:val="000000"/>
                <w:szCs w:val="22"/>
              </w:rPr>
            </w:pPr>
          </w:p>
        </w:tc>
        <w:tc>
          <w:tcPr>
            <w:tcW w:w="1030" w:type="dxa"/>
            <w:tcBorders>
              <w:top w:val="nil"/>
              <w:left w:val="nil"/>
              <w:bottom w:val="nil"/>
              <w:right w:val="nil"/>
            </w:tcBorders>
            <w:shd w:val="clear" w:color="auto" w:fill="auto"/>
            <w:noWrap/>
            <w:vAlign w:val="center"/>
          </w:tcPr>
          <w:p w14:paraId="5C1D8580"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39.987</w:t>
            </w:r>
          </w:p>
        </w:tc>
        <w:tc>
          <w:tcPr>
            <w:tcW w:w="270" w:type="dxa"/>
            <w:tcBorders>
              <w:top w:val="nil"/>
              <w:left w:val="nil"/>
              <w:bottom w:val="nil"/>
              <w:right w:val="nil"/>
            </w:tcBorders>
            <w:shd w:val="clear" w:color="auto" w:fill="auto"/>
            <w:noWrap/>
            <w:vAlign w:val="center"/>
          </w:tcPr>
          <w:p w14:paraId="739767CC" w14:textId="77777777" w:rsidR="00E818F7" w:rsidRPr="001116C5" w:rsidRDefault="00E818F7" w:rsidP="0086616B">
            <w:pPr>
              <w:jc w:val="right"/>
              <w:rPr>
                <w:rFonts w:asciiTheme="minorHAnsi" w:hAnsiTheme="minorHAnsi" w:cstheme="minorHAnsi"/>
                <w:color w:val="000000"/>
                <w:szCs w:val="22"/>
              </w:rPr>
            </w:pPr>
          </w:p>
        </w:tc>
        <w:tc>
          <w:tcPr>
            <w:tcW w:w="876" w:type="dxa"/>
            <w:tcBorders>
              <w:top w:val="nil"/>
              <w:left w:val="nil"/>
              <w:bottom w:val="nil"/>
              <w:right w:val="nil"/>
            </w:tcBorders>
            <w:shd w:val="clear" w:color="auto" w:fill="auto"/>
            <w:noWrap/>
            <w:vAlign w:val="center"/>
          </w:tcPr>
          <w:p w14:paraId="1275F75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111,7</w:t>
            </w:r>
          </w:p>
        </w:tc>
      </w:tr>
      <w:tr w:rsidR="00E818F7" w:rsidRPr="001116C5" w14:paraId="14B79C03" w14:textId="77777777" w:rsidTr="0086616B">
        <w:trPr>
          <w:trHeight w:val="276"/>
        </w:trPr>
        <w:tc>
          <w:tcPr>
            <w:tcW w:w="2977" w:type="dxa"/>
            <w:tcBorders>
              <w:top w:val="nil"/>
              <w:left w:val="nil"/>
              <w:bottom w:val="nil"/>
              <w:right w:val="nil"/>
            </w:tcBorders>
            <w:shd w:val="clear" w:color="auto" w:fill="auto"/>
            <w:vAlign w:val="center"/>
            <w:hideMark/>
          </w:tcPr>
          <w:p w14:paraId="092E494F"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Doprinosi iz plaće</w:t>
            </w:r>
          </w:p>
        </w:tc>
        <w:tc>
          <w:tcPr>
            <w:tcW w:w="1134" w:type="dxa"/>
            <w:tcBorders>
              <w:top w:val="nil"/>
              <w:left w:val="nil"/>
              <w:bottom w:val="nil"/>
              <w:right w:val="nil"/>
            </w:tcBorders>
            <w:shd w:val="clear" w:color="auto" w:fill="auto"/>
            <w:noWrap/>
            <w:vAlign w:val="center"/>
            <w:hideMark/>
          </w:tcPr>
          <w:p w14:paraId="4FBF07D5" w14:textId="77777777" w:rsidR="00E818F7" w:rsidRPr="001116C5" w:rsidRDefault="00E818F7" w:rsidP="0086616B">
            <w:pPr>
              <w:rPr>
                <w:rFonts w:asciiTheme="minorHAnsi" w:hAnsiTheme="minorHAnsi" w:cstheme="minorHAnsi"/>
                <w:color w:val="000000"/>
                <w:szCs w:val="22"/>
              </w:rPr>
            </w:pPr>
          </w:p>
        </w:tc>
        <w:tc>
          <w:tcPr>
            <w:tcW w:w="299" w:type="dxa"/>
            <w:tcBorders>
              <w:top w:val="nil"/>
              <w:left w:val="nil"/>
              <w:bottom w:val="nil"/>
              <w:right w:val="nil"/>
            </w:tcBorders>
            <w:shd w:val="clear" w:color="auto" w:fill="auto"/>
            <w:noWrap/>
            <w:vAlign w:val="center"/>
            <w:hideMark/>
          </w:tcPr>
          <w:p w14:paraId="6E9C4FB1" w14:textId="77777777" w:rsidR="00E818F7" w:rsidRPr="001116C5" w:rsidRDefault="00E818F7" w:rsidP="0086616B">
            <w:pPr>
              <w:jc w:val="center"/>
              <w:rPr>
                <w:rFonts w:asciiTheme="minorHAnsi" w:hAnsiTheme="minorHAnsi" w:cstheme="minorHAnsi"/>
                <w:szCs w:val="22"/>
              </w:rPr>
            </w:pPr>
          </w:p>
        </w:tc>
        <w:tc>
          <w:tcPr>
            <w:tcW w:w="1106" w:type="dxa"/>
            <w:tcBorders>
              <w:top w:val="nil"/>
              <w:left w:val="nil"/>
              <w:bottom w:val="nil"/>
              <w:right w:val="nil"/>
            </w:tcBorders>
            <w:shd w:val="clear" w:color="auto" w:fill="auto"/>
            <w:noWrap/>
            <w:vAlign w:val="center"/>
          </w:tcPr>
          <w:p w14:paraId="7DAA26EB"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105.832</w:t>
            </w:r>
          </w:p>
        </w:tc>
        <w:tc>
          <w:tcPr>
            <w:tcW w:w="288" w:type="dxa"/>
            <w:tcBorders>
              <w:top w:val="nil"/>
              <w:left w:val="nil"/>
              <w:bottom w:val="nil"/>
              <w:right w:val="nil"/>
            </w:tcBorders>
            <w:shd w:val="clear" w:color="auto" w:fill="auto"/>
            <w:noWrap/>
            <w:vAlign w:val="center"/>
          </w:tcPr>
          <w:p w14:paraId="03A3FBB0" w14:textId="77777777" w:rsidR="00E818F7" w:rsidRPr="001116C5" w:rsidRDefault="00E818F7" w:rsidP="0086616B">
            <w:pPr>
              <w:jc w:val="right"/>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44FB3B38"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114.128</w:t>
            </w:r>
          </w:p>
        </w:tc>
        <w:tc>
          <w:tcPr>
            <w:tcW w:w="270" w:type="dxa"/>
            <w:tcBorders>
              <w:top w:val="nil"/>
              <w:left w:val="nil"/>
              <w:bottom w:val="nil"/>
              <w:right w:val="nil"/>
            </w:tcBorders>
            <w:shd w:val="clear" w:color="auto" w:fill="auto"/>
            <w:noWrap/>
            <w:vAlign w:val="center"/>
          </w:tcPr>
          <w:p w14:paraId="751BBA98" w14:textId="77777777" w:rsidR="00E818F7" w:rsidRPr="001116C5" w:rsidRDefault="00E818F7" w:rsidP="0086616B">
            <w:pPr>
              <w:jc w:val="right"/>
              <w:rPr>
                <w:rFonts w:asciiTheme="minorHAnsi" w:hAnsiTheme="minorHAnsi" w:cstheme="minorHAnsi"/>
                <w:color w:val="000000"/>
                <w:szCs w:val="22"/>
              </w:rPr>
            </w:pPr>
          </w:p>
        </w:tc>
        <w:tc>
          <w:tcPr>
            <w:tcW w:w="1030" w:type="dxa"/>
            <w:tcBorders>
              <w:top w:val="nil"/>
              <w:left w:val="nil"/>
              <w:bottom w:val="nil"/>
              <w:right w:val="nil"/>
            </w:tcBorders>
            <w:shd w:val="clear" w:color="auto" w:fill="auto"/>
            <w:noWrap/>
            <w:vAlign w:val="center"/>
          </w:tcPr>
          <w:p w14:paraId="43D23E99"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8.296</w:t>
            </w:r>
          </w:p>
        </w:tc>
        <w:tc>
          <w:tcPr>
            <w:tcW w:w="270" w:type="dxa"/>
            <w:tcBorders>
              <w:top w:val="nil"/>
              <w:left w:val="nil"/>
              <w:bottom w:val="nil"/>
              <w:right w:val="nil"/>
            </w:tcBorders>
            <w:shd w:val="clear" w:color="auto" w:fill="auto"/>
            <w:noWrap/>
            <w:vAlign w:val="center"/>
          </w:tcPr>
          <w:p w14:paraId="73B84447" w14:textId="77777777" w:rsidR="00E818F7" w:rsidRPr="001116C5" w:rsidRDefault="00E818F7" w:rsidP="0086616B">
            <w:pPr>
              <w:jc w:val="right"/>
              <w:rPr>
                <w:rFonts w:asciiTheme="minorHAnsi" w:hAnsiTheme="minorHAnsi" w:cstheme="minorHAnsi"/>
                <w:color w:val="000000"/>
                <w:szCs w:val="22"/>
              </w:rPr>
            </w:pPr>
          </w:p>
        </w:tc>
        <w:tc>
          <w:tcPr>
            <w:tcW w:w="876" w:type="dxa"/>
            <w:tcBorders>
              <w:top w:val="nil"/>
              <w:left w:val="nil"/>
              <w:bottom w:val="nil"/>
              <w:right w:val="nil"/>
            </w:tcBorders>
            <w:shd w:val="clear" w:color="auto" w:fill="auto"/>
            <w:noWrap/>
            <w:vAlign w:val="center"/>
          </w:tcPr>
          <w:p w14:paraId="7F2049AE"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107,8</w:t>
            </w:r>
          </w:p>
        </w:tc>
      </w:tr>
      <w:tr w:rsidR="00E818F7" w:rsidRPr="001116C5" w14:paraId="550E3393" w14:textId="77777777" w:rsidTr="0086616B">
        <w:trPr>
          <w:trHeight w:val="288"/>
        </w:trPr>
        <w:tc>
          <w:tcPr>
            <w:tcW w:w="2977" w:type="dxa"/>
            <w:tcBorders>
              <w:top w:val="nil"/>
              <w:left w:val="nil"/>
              <w:bottom w:val="nil"/>
              <w:right w:val="nil"/>
            </w:tcBorders>
            <w:shd w:val="clear" w:color="auto" w:fill="auto"/>
            <w:vAlign w:val="center"/>
            <w:hideMark/>
          </w:tcPr>
          <w:p w14:paraId="62E8E60C"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Porez i prirez</w:t>
            </w:r>
          </w:p>
        </w:tc>
        <w:tc>
          <w:tcPr>
            <w:tcW w:w="1134" w:type="dxa"/>
            <w:tcBorders>
              <w:top w:val="nil"/>
              <w:left w:val="nil"/>
              <w:bottom w:val="nil"/>
              <w:right w:val="nil"/>
            </w:tcBorders>
            <w:shd w:val="clear" w:color="auto" w:fill="auto"/>
            <w:noWrap/>
            <w:vAlign w:val="center"/>
            <w:hideMark/>
          </w:tcPr>
          <w:p w14:paraId="1BCE34BA" w14:textId="77777777" w:rsidR="00E818F7" w:rsidRPr="001116C5" w:rsidRDefault="00E818F7" w:rsidP="0086616B">
            <w:pPr>
              <w:rPr>
                <w:rFonts w:asciiTheme="minorHAnsi" w:hAnsiTheme="minorHAnsi" w:cstheme="minorHAnsi"/>
                <w:color w:val="000000"/>
                <w:szCs w:val="22"/>
              </w:rPr>
            </w:pPr>
          </w:p>
        </w:tc>
        <w:tc>
          <w:tcPr>
            <w:tcW w:w="299" w:type="dxa"/>
            <w:tcBorders>
              <w:top w:val="nil"/>
              <w:left w:val="nil"/>
              <w:bottom w:val="nil"/>
              <w:right w:val="nil"/>
            </w:tcBorders>
            <w:shd w:val="clear" w:color="auto" w:fill="auto"/>
            <w:noWrap/>
            <w:vAlign w:val="center"/>
            <w:hideMark/>
          </w:tcPr>
          <w:p w14:paraId="50C9794B" w14:textId="77777777" w:rsidR="00E818F7" w:rsidRPr="001116C5" w:rsidRDefault="00E818F7" w:rsidP="0086616B">
            <w:pPr>
              <w:jc w:val="center"/>
              <w:rPr>
                <w:rFonts w:asciiTheme="minorHAnsi" w:hAnsiTheme="minorHAnsi" w:cstheme="minorHAnsi"/>
                <w:szCs w:val="22"/>
              </w:rPr>
            </w:pPr>
          </w:p>
        </w:tc>
        <w:tc>
          <w:tcPr>
            <w:tcW w:w="1106" w:type="dxa"/>
            <w:tcBorders>
              <w:top w:val="nil"/>
              <w:left w:val="nil"/>
              <w:bottom w:val="single" w:sz="12" w:space="0" w:color="auto"/>
              <w:right w:val="nil"/>
            </w:tcBorders>
            <w:shd w:val="clear" w:color="auto" w:fill="auto"/>
            <w:noWrap/>
            <w:vAlign w:val="center"/>
          </w:tcPr>
          <w:p w14:paraId="5C3F152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80.574</w:t>
            </w:r>
          </w:p>
        </w:tc>
        <w:tc>
          <w:tcPr>
            <w:tcW w:w="288" w:type="dxa"/>
            <w:tcBorders>
              <w:top w:val="nil"/>
              <w:left w:val="nil"/>
              <w:bottom w:val="nil"/>
              <w:right w:val="nil"/>
            </w:tcBorders>
            <w:shd w:val="clear" w:color="auto" w:fill="auto"/>
            <w:noWrap/>
            <w:vAlign w:val="center"/>
          </w:tcPr>
          <w:p w14:paraId="7B1B4A03" w14:textId="77777777" w:rsidR="00E818F7" w:rsidRPr="001116C5" w:rsidRDefault="00E818F7" w:rsidP="0086616B">
            <w:pPr>
              <w:jc w:val="right"/>
              <w:rPr>
                <w:rFonts w:asciiTheme="minorHAnsi" w:hAnsiTheme="minorHAnsi" w:cstheme="minorHAnsi"/>
                <w:color w:val="000000"/>
                <w:szCs w:val="22"/>
              </w:rPr>
            </w:pPr>
          </w:p>
        </w:tc>
        <w:tc>
          <w:tcPr>
            <w:tcW w:w="1106" w:type="dxa"/>
            <w:tcBorders>
              <w:top w:val="nil"/>
              <w:left w:val="nil"/>
              <w:bottom w:val="single" w:sz="12" w:space="0" w:color="auto"/>
              <w:right w:val="nil"/>
            </w:tcBorders>
            <w:shd w:val="clear" w:color="auto" w:fill="auto"/>
            <w:noWrap/>
            <w:vAlign w:val="center"/>
          </w:tcPr>
          <w:p w14:paraId="60F354E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87.844</w:t>
            </w:r>
          </w:p>
        </w:tc>
        <w:tc>
          <w:tcPr>
            <w:tcW w:w="270" w:type="dxa"/>
            <w:tcBorders>
              <w:top w:val="nil"/>
              <w:left w:val="nil"/>
              <w:bottom w:val="nil"/>
              <w:right w:val="nil"/>
            </w:tcBorders>
            <w:shd w:val="clear" w:color="auto" w:fill="auto"/>
            <w:noWrap/>
            <w:vAlign w:val="center"/>
          </w:tcPr>
          <w:p w14:paraId="720D90B6" w14:textId="77777777" w:rsidR="00E818F7" w:rsidRPr="001116C5" w:rsidRDefault="00E818F7" w:rsidP="0086616B">
            <w:pPr>
              <w:jc w:val="right"/>
              <w:rPr>
                <w:rFonts w:asciiTheme="minorHAnsi" w:hAnsiTheme="minorHAnsi" w:cstheme="minorHAnsi"/>
                <w:color w:val="000000"/>
                <w:szCs w:val="22"/>
              </w:rPr>
            </w:pPr>
          </w:p>
        </w:tc>
        <w:tc>
          <w:tcPr>
            <w:tcW w:w="1030" w:type="dxa"/>
            <w:tcBorders>
              <w:top w:val="nil"/>
              <w:left w:val="nil"/>
              <w:bottom w:val="single" w:sz="12" w:space="0" w:color="auto"/>
              <w:right w:val="nil"/>
            </w:tcBorders>
            <w:shd w:val="clear" w:color="auto" w:fill="auto"/>
            <w:noWrap/>
            <w:vAlign w:val="center"/>
          </w:tcPr>
          <w:p w14:paraId="0D75920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7.270</w:t>
            </w:r>
          </w:p>
        </w:tc>
        <w:tc>
          <w:tcPr>
            <w:tcW w:w="270" w:type="dxa"/>
            <w:tcBorders>
              <w:top w:val="nil"/>
              <w:left w:val="nil"/>
              <w:bottom w:val="nil"/>
              <w:right w:val="nil"/>
            </w:tcBorders>
            <w:shd w:val="clear" w:color="auto" w:fill="auto"/>
            <w:noWrap/>
            <w:vAlign w:val="center"/>
          </w:tcPr>
          <w:p w14:paraId="7270C0FB" w14:textId="77777777" w:rsidR="00E818F7" w:rsidRPr="001116C5" w:rsidRDefault="00E818F7" w:rsidP="0086616B">
            <w:pPr>
              <w:jc w:val="right"/>
              <w:rPr>
                <w:rFonts w:asciiTheme="minorHAnsi" w:hAnsiTheme="minorHAnsi" w:cstheme="minorHAnsi"/>
                <w:color w:val="000000"/>
                <w:szCs w:val="22"/>
              </w:rPr>
            </w:pPr>
          </w:p>
        </w:tc>
        <w:tc>
          <w:tcPr>
            <w:tcW w:w="876" w:type="dxa"/>
            <w:tcBorders>
              <w:top w:val="nil"/>
              <w:left w:val="nil"/>
              <w:bottom w:val="single" w:sz="12" w:space="0" w:color="auto"/>
              <w:right w:val="nil"/>
            </w:tcBorders>
            <w:shd w:val="clear" w:color="auto" w:fill="auto"/>
            <w:noWrap/>
            <w:vAlign w:val="center"/>
          </w:tcPr>
          <w:p w14:paraId="6AA8493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109,0</w:t>
            </w:r>
          </w:p>
        </w:tc>
      </w:tr>
      <w:tr w:rsidR="00E818F7" w:rsidRPr="001116C5" w14:paraId="0866DA43" w14:textId="77777777" w:rsidTr="0086616B">
        <w:trPr>
          <w:trHeight w:val="516"/>
        </w:trPr>
        <w:tc>
          <w:tcPr>
            <w:tcW w:w="2977" w:type="dxa"/>
            <w:tcBorders>
              <w:top w:val="nil"/>
              <w:left w:val="nil"/>
              <w:bottom w:val="nil"/>
              <w:right w:val="nil"/>
            </w:tcBorders>
            <w:shd w:val="clear" w:color="auto" w:fill="auto"/>
            <w:vAlign w:val="center"/>
            <w:hideMark/>
          </w:tcPr>
          <w:p w14:paraId="1CDD71C2"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 naknade troškova radnicima</w:t>
            </w:r>
          </w:p>
        </w:tc>
        <w:tc>
          <w:tcPr>
            <w:tcW w:w="1134" w:type="dxa"/>
            <w:tcBorders>
              <w:top w:val="nil"/>
              <w:left w:val="nil"/>
              <w:bottom w:val="nil"/>
              <w:right w:val="nil"/>
            </w:tcBorders>
            <w:shd w:val="clear" w:color="auto" w:fill="auto"/>
            <w:noWrap/>
            <w:vAlign w:val="center"/>
            <w:hideMark/>
          </w:tcPr>
          <w:p w14:paraId="7661F3C5"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057</w:t>
            </w:r>
          </w:p>
        </w:tc>
        <w:tc>
          <w:tcPr>
            <w:tcW w:w="299" w:type="dxa"/>
            <w:tcBorders>
              <w:top w:val="nil"/>
              <w:left w:val="nil"/>
              <w:bottom w:val="nil"/>
              <w:right w:val="nil"/>
            </w:tcBorders>
            <w:shd w:val="clear" w:color="auto" w:fill="auto"/>
            <w:noWrap/>
            <w:vAlign w:val="center"/>
            <w:hideMark/>
          </w:tcPr>
          <w:p w14:paraId="26D1B3AB" w14:textId="77777777" w:rsidR="00E818F7" w:rsidRPr="001116C5" w:rsidRDefault="00E818F7" w:rsidP="0086616B">
            <w:pPr>
              <w:jc w:val="center"/>
              <w:rPr>
                <w:rFonts w:asciiTheme="minorHAnsi" w:hAnsiTheme="minorHAnsi" w:cstheme="minorHAnsi"/>
                <w:szCs w:val="22"/>
              </w:rPr>
            </w:pPr>
          </w:p>
        </w:tc>
        <w:tc>
          <w:tcPr>
            <w:tcW w:w="1106" w:type="dxa"/>
            <w:tcBorders>
              <w:top w:val="single" w:sz="12" w:space="0" w:color="auto"/>
              <w:left w:val="nil"/>
              <w:bottom w:val="single" w:sz="12" w:space="0" w:color="auto"/>
              <w:right w:val="nil"/>
            </w:tcBorders>
            <w:shd w:val="clear" w:color="auto" w:fill="auto"/>
            <w:noWrap/>
            <w:vAlign w:val="center"/>
          </w:tcPr>
          <w:p w14:paraId="55E67E90"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529.158</w:t>
            </w:r>
          </w:p>
        </w:tc>
        <w:tc>
          <w:tcPr>
            <w:tcW w:w="288" w:type="dxa"/>
            <w:tcBorders>
              <w:top w:val="nil"/>
              <w:left w:val="nil"/>
              <w:bottom w:val="nil"/>
              <w:right w:val="nil"/>
            </w:tcBorders>
            <w:shd w:val="clear" w:color="auto" w:fill="auto"/>
            <w:noWrap/>
            <w:vAlign w:val="center"/>
          </w:tcPr>
          <w:p w14:paraId="0692332E" w14:textId="77777777" w:rsidR="00E818F7" w:rsidRPr="001116C5" w:rsidRDefault="00E818F7" w:rsidP="0086616B">
            <w:pPr>
              <w:jc w:val="right"/>
              <w:rPr>
                <w:rFonts w:asciiTheme="minorHAnsi" w:hAnsiTheme="minorHAnsi" w:cstheme="minorHAnsi"/>
                <w:b/>
                <w:bCs/>
                <w:color w:val="000000"/>
                <w:szCs w:val="22"/>
              </w:rPr>
            </w:pPr>
          </w:p>
        </w:tc>
        <w:tc>
          <w:tcPr>
            <w:tcW w:w="1106" w:type="dxa"/>
            <w:tcBorders>
              <w:top w:val="single" w:sz="12" w:space="0" w:color="auto"/>
              <w:left w:val="nil"/>
              <w:bottom w:val="single" w:sz="12" w:space="0" w:color="auto"/>
              <w:right w:val="nil"/>
            </w:tcBorders>
            <w:shd w:val="clear" w:color="auto" w:fill="auto"/>
            <w:noWrap/>
            <w:vAlign w:val="center"/>
          </w:tcPr>
          <w:p w14:paraId="31C22F86"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584.711</w:t>
            </w:r>
          </w:p>
        </w:tc>
        <w:tc>
          <w:tcPr>
            <w:tcW w:w="270" w:type="dxa"/>
            <w:tcBorders>
              <w:top w:val="nil"/>
              <w:left w:val="nil"/>
              <w:bottom w:val="nil"/>
              <w:right w:val="nil"/>
            </w:tcBorders>
            <w:shd w:val="clear" w:color="auto" w:fill="auto"/>
            <w:noWrap/>
            <w:vAlign w:val="center"/>
          </w:tcPr>
          <w:p w14:paraId="01A5E9EC" w14:textId="77777777" w:rsidR="00E818F7" w:rsidRPr="001116C5" w:rsidRDefault="00E818F7" w:rsidP="0086616B">
            <w:pPr>
              <w:jc w:val="right"/>
              <w:rPr>
                <w:rFonts w:asciiTheme="minorHAnsi" w:hAnsiTheme="minorHAnsi" w:cstheme="minorHAnsi"/>
                <w:b/>
                <w:bCs/>
                <w:color w:val="000000"/>
                <w:szCs w:val="22"/>
              </w:rPr>
            </w:pPr>
          </w:p>
        </w:tc>
        <w:tc>
          <w:tcPr>
            <w:tcW w:w="1030" w:type="dxa"/>
            <w:tcBorders>
              <w:top w:val="single" w:sz="12" w:space="0" w:color="auto"/>
              <w:left w:val="nil"/>
              <w:bottom w:val="single" w:sz="12" w:space="0" w:color="auto"/>
              <w:right w:val="nil"/>
            </w:tcBorders>
            <w:shd w:val="clear" w:color="auto" w:fill="auto"/>
            <w:noWrap/>
            <w:vAlign w:val="center"/>
          </w:tcPr>
          <w:p w14:paraId="550BA5BA"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55.553</w:t>
            </w:r>
          </w:p>
        </w:tc>
        <w:tc>
          <w:tcPr>
            <w:tcW w:w="270" w:type="dxa"/>
            <w:tcBorders>
              <w:top w:val="nil"/>
              <w:left w:val="nil"/>
              <w:bottom w:val="nil"/>
              <w:right w:val="nil"/>
            </w:tcBorders>
            <w:shd w:val="clear" w:color="auto" w:fill="auto"/>
            <w:noWrap/>
            <w:vAlign w:val="center"/>
          </w:tcPr>
          <w:p w14:paraId="3AE1A3BE" w14:textId="77777777" w:rsidR="00E818F7" w:rsidRPr="001116C5" w:rsidRDefault="00E818F7" w:rsidP="0086616B">
            <w:pPr>
              <w:jc w:val="right"/>
              <w:rPr>
                <w:rFonts w:asciiTheme="minorHAnsi" w:hAnsiTheme="minorHAnsi" w:cstheme="minorHAnsi"/>
                <w:b/>
                <w:bCs/>
                <w:color w:val="000000"/>
                <w:szCs w:val="22"/>
              </w:rPr>
            </w:pPr>
          </w:p>
        </w:tc>
        <w:tc>
          <w:tcPr>
            <w:tcW w:w="876" w:type="dxa"/>
            <w:tcBorders>
              <w:top w:val="single" w:sz="12" w:space="0" w:color="auto"/>
              <w:left w:val="nil"/>
              <w:bottom w:val="single" w:sz="12" w:space="0" w:color="auto"/>
              <w:right w:val="nil"/>
            </w:tcBorders>
            <w:shd w:val="clear" w:color="auto" w:fill="auto"/>
            <w:noWrap/>
            <w:vAlign w:val="center"/>
          </w:tcPr>
          <w:p w14:paraId="7D5386C9"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110,5</w:t>
            </w:r>
          </w:p>
        </w:tc>
      </w:tr>
    </w:tbl>
    <w:p w14:paraId="6CCFFEF3"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rPr>
      </w:pPr>
    </w:p>
    <w:p w14:paraId="02749C7A"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Na dan 31. prosinca 2023. godine prosječan broj zaposlenih na bazi sati rada je 11 (2022: 10). </w:t>
      </w:r>
    </w:p>
    <w:p w14:paraId="4EA3B2E3"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FF0000"/>
          <w:szCs w:val="22"/>
          <w:lang w:val="pt-PT"/>
        </w:rPr>
      </w:pPr>
    </w:p>
    <w:p w14:paraId="3F60DF4A" w14:textId="77777777" w:rsidR="00E818F7" w:rsidRPr="001116C5" w:rsidRDefault="00E818F7" w:rsidP="00E818F7">
      <w:pPr>
        <w:pStyle w:val="NoSpacing"/>
        <w:rPr>
          <w:rFonts w:asciiTheme="minorHAnsi" w:hAnsiTheme="minorHAnsi" w:cstheme="minorHAnsi"/>
          <w:sz w:val="22"/>
          <w:szCs w:val="22"/>
        </w:rPr>
      </w:pPr>
    </w:p>
    <w:p w14:paraId="0262F946" w14:textId="77777777" w:rsidR="00E818F7" w:rsidRPr="001116C5" w:rsidRDefault="00E818F7" w:rsidP="00E818F7">
      <w:pPr>
        <w:pStyle w:val="NoSpacing"/>
        <w:rPr>
          <w:rFonts w:asciiTheme="minorHAnsi" w:hAnsiTheme="minorHAnsi" w:cstheme="minorHAnsi"/>
          <w:sz w:val="22"/>
          <w:szCs w:val="22"/>
        </w:rPr>
      </w:pPr>
    </w:p>
    <w:p w14:paraId="2A019F50"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rPr>
      </w:pPr>
      <w:r w:rsidRPr="001116C5">
        <w:rPr>
          <w:rFonts w:asciiTheme="minorHAnsi" w:hAnsiTheme="minorHAnsi" w:cstheme="minorHAnsi"/>
          <w:b/>
          <w:szCs w:val="22"/>
        </w:rPr>
        <w:lastRenderedPageBreak/>
        <w:t>5.</w:t>
      </w:r>
      <w:r w:rsidRPr="001116C5">
        <w:rPr>
          <w:rFonts w:asciiTheme="minorHAnsi" w:hAnsiTheme="minorHAnsi" w:cstheme="minorHAnsi"/>
          <w:b/>
          <w:szCs w:val="22"/>
        </w:rPr>
        <w:tab/>
        <w:t>MATERIJALNI RASHODI</w:t>
      </w:r>
    </w:p>
    <w:tbl>
      <w:tblPr>
        <w:tblW w:w="9214" w:type="dxa"/>
        <w:tblInd w:w="108" w:type="dxa"/>
        <w:tblLook w:val="04A0" w:firstRow="1" w:lastRow="0" w:firstColumn="1" w:lastColumn="0" w:noHBand="0" w:noVBand="1"/>
      </w:tblPr>
      <w:tblGrid>
        <w:gridCol w:w="2977"/>
        <w:gridCol w:w="1134"/>
        <w:gridCol w:w="284"/>
        <w:gridCol w:w="1106"/>
        <w:gridCol w:w="283"/>
        <w:gridCol w:w="1020"/>
        <w:gridCol w:w="284"/>
        <w:gridCol w:w="992"/>
        <w:gridCol w:w="284"/>
        <w:gridCol w:w="850"/>
      </w:tblGrid>
      <w:tr w:rsidR="00E818F7" w:rsidRPr="001116C5" w14:paraId="04F077E7" w14:textId="77777777" w:rsidTr="0086616B">
        <w:trPr>
          <w:trHeight w:val="340"/>
        </w:trPr>
        <w:tc>
          <w:tcPr>
            <w:tcW w:w="2977" w:type="dxa"/>
            <w:tcBorders>
              <w:top w:val="nil"/>
              <w:left w:val="nil"/>
              <w:bottom w:val="nil"/>
              <w:right w:val="nil"/>
            </w:tcBorders>
            <w:shd w:val="clear" w:color="auto" w:fill="auto"/>
            <w:noWrap/>
            <w:vAlign w:val="center"/>
            <w:hideMark/>
          </w:tcPr>
          <w:p w14:paraId="1B499257" w14:textId="77777777" w:rsidR="00E818F7" w:rsidRPr="001116C5" w:rsidRDefault="00E818F7" w:rsidP="0086616B">
            <w:pPr>
              <w:rPr>
                <w:rFonts w:asciiTheme="minorHAnsi" w:hAnsiTheme="minorHAnsi" w:cstheme="minorHAnsi"/>
                <w:szCs w:val="22"/>
              </w:rPr>
            </w:pPr>
          </w:p>
        </w:tc>
        <w:tc>
          <w:tcPr>
            <w:tcW w:w="1134" w:type="dxa"/>
            <w:tcBorders>
              <w:top w:val="nil"/>
              <w:left w:val="nil"/>
              <w:bottom w:val="nil"/>
              <w:right w:val="nil"/>
            </w:tcBorders>
            <w:shd w:val="clear" w:color="auto" w:fill="auto"/>
            <w:noWrap/>
            <w:vAlign w:val="center"/>
            <w:hideMark/>
          </w:tcPr>
          <w:p w14:paraId="707FC8A7" w14:textId="77777777" w:rsidR="00E818F7" w:rsidRPr="001116C5" w:rsidRDefault="00E818F7" w:rsidP="0086616B">
            <w:pPr>
              <w:rPr>
                <w:rFonts w:asciiTheme="minorHAnsi" w:hAnsiTheme="minorHAnsi" w:cstheme="minorHAnsi"/>
                <w:szCs w:val="22"/>
              </w:rPr>
            </w:pPr>
          </w:p>
        </w:tc>
        <w:tc>
          <w:tcPr>
            <w:tcW w:w="284" w:type="dxa"/>
            <w:tcBorders>
              <w:top w:val="nil"/>
              <w:left w:val="nil"/>
              <w:bottom w:val="nil"/>
              <w:right w:val="nil"/>
            </w:tcBorders>
            <w:shd w:val="clear" w:color="auto" w:fill="auto"/>
            <w:noWrap/>
            <w:vAlign w:val="center"/>
            <w:hideMark/>
          </w:tcPr>
          <w:p w14:paraId="71419F95" w14:textId="77777777" w:rsidR="00E818F7" w:rsidRPr="001116C5" w:rsidRDefault="00E818F7" w:rsidP="0086616B">
            <w:pPr>
              <w:rPr>
                <w:rFonts w:asciiTheme="minorHAnsi" w:hAnsiTheme="minorHAnsi" w:cstheme="minorHAnsi"/>
                <w:szCs w:val="22"/>
              </w:rPr>
            </w:pPr>
          </w:p>
        </w:tc>
        <w:tc>
          <w:tcPr>
            <w:tcW w:w="1106" w:type="dxa"/>
            <w:tcBorders>
              <w:top w:val="nil"/>
              <w:left w:val="nil"/>
              <w:bottom w:val="single" w:sz="12" w:space="0" w:color="auto"/>
              <w:right w:val="nil"/>
            </w:tcBorders>
            <w:shd w:val="clear" w:color="auto" w:fill="auto"/>
            <w:noWrap/>
            <w:vAlign w:val="center"/>
          </w:tcPr>
          <w:p w14:paraId="7D940D23"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2022.</w:t>
            </w:r>
          </w:p>
        </w:tc>
        <w:tc>
          <w:tcPr>
            <w:tcW w:w="283" w:type="dxa"/>
            <w:tcBorders>
              <w:top w:val="nil"/>
              <w:left w:val="nil"/>
              <w:bottom w:val="nil"/>
              <w:right w:val="nil"/>
            </w:tcBorders>
            <w:shd w:val="clear" w:color="auto" w:fill="auto"/>
            <w:noWrap/>
            <w:vAlign w:val="center"/>
          </w:tcPr>
          <w:p w14:paraId="33C8FB37" w14:textId="77777777" w:rsidR="00E818F7" w:rsidRPr="001116C5" w:rsidRDefault="00E818F7" w:rsidP="0086616B">
            <w:pPr>
              <w:jc w:val="center"/>
              <w:rPr>
                <w:rFonts w:asciiTheme="minorHAnsi" w:hAnsiTheme="minorHAnsi" w:cstheme="minorHAnsi"/>
                <w:b/>
                <w:bCs/>
                <w:color w:val="000000"/>
                <w:szCs w:val="22"/>
              </w:rPr>
            </w:pPr>
          </w:p>
        </w:tc>
        <w:tc>
          <w:tcPr>
            <w:tcW w:w="1020" w:type="dxa"/>
            <w:tcBorders>
              <w:top w:val="nil"/>
              <w:left w:val="nil"/>
              <w:bottom w:val="single" w:sz="12" w:space="0" w:color="auto"/>
              <w:right w:val="nil"/>
            </w:tcBorders>
            <w:shd w:val="clear" w:color="auto" w:fill="auto"/>
            <w:noWrap/>
            <w:vAlign w:val="center"/>
          </w:tcPr>
          <w:p w14:paraId="405A3E6E"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2023.</w:t>
            </w:r>
          </w:p>
        </w:tc>
        <w:tc>
          <w:tcPr>
            <w:tcW w:w="284" w:type="dxa"/>
            <w:tcBorders>
              <w:top w:val="nil"/>
              <w:left w:val="nil"/>
              <w:bottom w:val="nil"/>
              <w:right w:val="nil"/>
            </w:tcBorders>
            <w:shd w:val="clear" w:color="auto" w:fill="auto"/>
            <w:noWrap/>
            <w:vAlign w:val="center"/>
          </w:tcPr>
          <w:p w14:paraId="6119C672" w14:textId="77777777" w:rsidR="00E818F7" w:rsidRPr="001116C5" w:rsidRDefault="00E818F7" w:rsidP="0086616B">
            <w:pPr>
              <w:jc w:val="center"/>
              <w:rPr>
                <w:rFonts w:asciiTheme="minorHAnsi" w:hAnsiTheme="minorHAnsi" w:cstheme="minorHAnsi"/>
                <w:b/>
                <w:bCs/>
                <w:color w:val="000000"/>
                <w:szCs w:val="22"/>
              </w:rPr>
            </w:pPr>
          </w:p>
        </w:tc>
        <w:tc>
          <w:tcPr>
            <w:tcW w:w="992" w:type="dxa"/>
            <w:tcBorders>
              <w:top w:val="nil"/>
              <w:left w:val="nil"/>
              <w:bottom w:val="single" w:sz="12" w:space="0" w:color="auto"/>
              <w:right w:val="nil"/>
            </w:tcBorders>
            <w:shd w:val="clear" w:color="auto" w:fill="auto"/>
            <w:noWrap/>
            <w:vAlign w:val="center"/>
          </w:tcPr>
          <w:p w14:paraId="34DEDE01"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Razlika</w:t>
            </w:r>
          </w:p>
        </w:tc>
        <w:tc>
          <w:tcPr>
            <w:tcW w:w="284" w:type="dxa"/>
            <w:tcBorders>
              <w:top w:val="nil"/>
              <w:left w:val="nil"/>
              <w:bottom w:val="nil"/>
              <w:right w:val="nil"/>
            </w:tcBorders>
            <w:shd w:val="clear" w:color="auto" w:fill="auto"/>
            <w:noWrap/>
            <w:vAlign w:val="center"/>
          </w:tcPr>
          <w:p w14:paraId="64F796FD" w14:textId="77777777" w:rsidR="00E818F7" w:rsidRPr="001116C5" w:rsidRDefault="00E818F7" w:rsidP="0086616B">
            <w:pPr>
              <w:jc w:val="center"/>
              <w:rPr>
                <w:rFonts w:asciiTheme="minorHAnsi" w:hAnsiTheme="minorHAnsi" w:cstheme="minorHAnsi"/>
                <w:b/>
                <w:bCs/>
                <w:color w:val="000000"/>
                <w:szCs w:val="22"/>
              </w:rPr>
            </w:pPr>
          </w:p>
        </w:tc>
        <w:tc>
          <w:tcPr>
            <w:tcW w:w="850" w:type="dxa"/>
            <w:tcBorders>
              <w:top w:val="nil"/>
              <w:left w:val="nil"/>
              <w:bottom w:val="single" w:sz="12" w:space="0" w:color="auto"/>
              <w:right w:val="nil"/>
            </w:tcBorders>
            <w:shd w:val="clear" w:color="auto" w:fill="auto"/>
            <w:noWrap/>
            <w:vAlign w:val="center"/>
          </w:tcPr>
          <w:p w14:paraId="096864D2"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Index</w:t>
            </w:r>
          </w:p>
        </w:tc>
      </w:tr>
      <w:tr w:rsidR="00E818F7" w:rsidRPr="001116C5" w14:paraId="245496F4" w14:textId="77777777" w:rsidTr="0086616B">
        <w:trPr>
          <w:trHeight w:val="340"/>
        </w:trPr>
        <w:tc>
          <w:tcPr>
            <w:tcW w:w="2977" w:type="dxa"/>
            <w:tcBorders>
              <w:top w:val="nil"/>
              <w:left w:val="nil"/>
              <w:bottom w:val="nil"/>
              <w:right w:val="nil"/>
            </w:tcBorders>
            <w:shd w:val="clear" w:color="auto" w:fill="auto"/>
            <w:vAlign w:val="center"/>
            <w:hideMark/>
          </w:tcPr>
          <w:p w14:paraId="18348175"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Službena putovanja</w:t>
            </w:r>
          </w:p>
        </w:tc>
        <w:tc>
          <w:tcPr>
            <w:tcW w:w="1134" w:type="dxa"/>
            <w:tcBorders>
              <w:top w:val="nil"/>
              <w:left w:val="nil"/>
              <w:bottom w:val="nil"/>
              <w:right w:val="nil"/>
            </w:tcBorders>
            <w:shd w:val="clear" w:color="auto" w:fill="auto"/>
            <w:noWrap/>
            <w:vAlign w:val="center"/>
            <w:hideMark/>
          </w:tcPr>
          <w:p w14:paraId="3157233F"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069</w:t>
            </w:r>
          </w:p>
        </w:tc>
        <w:tc>
          <w:tcPr>
            <w:tcW w:w="284" w:type="dxa"/>
            <w:tcBorders>
              <w:top w:val="nil"/>
              <w:left w:val="nil"/>
              <w:bottom w:val="nil"/>
              <w:right w:val="nil"/>
            </w:tcBorders>
            <w:shd w:val="clear" w:color="auto" w:fill="auto"/>
            <w:noWrap/>
            <w:vAlign w:val="center"/>
            <w:hideMark/>
          </w:tcPr>
          <w:p w14:paraId="76EFF522"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6E9C23F7"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6.155</w:t>
            </w:r>
          </w:p>
        </w:tc>
        <w:tc>
          <w:tcPr>
            <w:tcW w:w="283" w:type="dxa"/>
            <w:tcBorders>
              <w:top w:val="nil"/>
              <w:left w:val="nil"/>
              <w:bottom w:val="nil"/>
              <w:right w:val="nil"/>
            </w:tcBorders>
            <w:shd w:val="clear" w:color="auto" w:fill="auto"/>
            <w:noWrap/>
            <w:vAlign w:val="center"/>
          </w:tcPr>
          <w:p w14:paraId="771CBC6E" w14:textId="77777777" w:rsidR="00E818F7" w:rsidRPr="001116C5" w:rsidRDefault="00E818F7" w:rsidP="0086616B">
            <w:pPr>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2475B1F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13.464</w:t>
            </w:r>
          </w:p>
        </w:tc>
        <w:tc>
          <w:tcPr>
            <w:tcW w:w="284" w:type="dxa"/>
            <w:tcBorders>
              <w:top w:val="nil"/>
              <w:left w:val="nil"/>
              <w:bottom w:val="nil"/>
              <w:right w:val="nil"/>
            </w:tcBorders>
            <w:shd w:val="clear" w:color="auto" w:fill="auto"/>
            <w:noWrap/>
            <w:vAlign w:val="center"/>
          </w:tcPr>
          <w:p w14:paraId="5239EB49" w14:textId="77777777" w:rsidR="00E818F7" w:rsidRPr="001116C5" w:rsidRDefault="00E818F7" w:rsidP="0086616B">
            <w:pPr>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1304281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7.309</w:t>
            </w:r>
          </w:p>
        </w:tc>
        <w:tc>
          <w:tcPr>
            <w:tcW w:w="284" w:type="dxa"/>
            <w:tcBorders>
              <w:top w:val="nil"/>
              <w:left w:val="nil"/>
              <w:bottom w:val="nil"/>
              <w:right w:val="nil"/>
            </w:tcBorders>
            <w:shd w:val="clear" w:color="auto" w:fill="auto"/>
            <w:noWrap/>
            <w:vAlign w:val="center"/>
          </w:tcPr>
          <w:p w14:paraId="2182A24B"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2B98E9F8"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218,7</w:t>
            </w:r>
          </w:p>
        </w:tc>
      </w:tr>
      <w:tr w:rsidR="00E818F7" w:rsidRPr="001116C5" w14:paraId="5E27CEBF" w14:textId="77777777" w:rsidTr="0086616B">
        <w:trPr>
          <w:trHeight w:val="340"/>
        </w:trPr>
        <w:tc>
          <w:tcPr>
            <w:tcW w:w="2977" w:type="dxa"/>
            <w:tcBorders>
              <w:top w:val="nil"/>
              <w:left w:val="nil"/>
              <w:bottom w:val="nil"/>
              <w:right w:val="nil"/>
            </w:tcBorders>
            <w:shd w:val="clear" w:color="auto" w:fill="auto"/>
            <w:vAlign w:val="center"/>
            <w:hideMark/>
          </w:tcPr>
          <w:p w14:paraId="5C2FC988" w14:textId="77777777" w:rsidR="00E818F7" w:rsidRPr="001116C5" w:rsidRDefault="00E818F7" w:rsidP="0086616B">
            <w:pPr>
              <w:rPr>
                <w:rFonts w:asciiTheme="minorHAnsi" w:hAnsiTheme="minorHAnsi" w:cstheme="minorHAnsi"/>
                <w:color w:val="000000"/>
                <w:szCs w:val="22"/>
                <w:lang w:val="pt-PT"/>
              </w:rPr>
            </w:pPr>
            <w:r w:rsidRPr="001116C5">
              <w:rPr>
                <w:rFonts w:asciiTheme="minorHAnsi" w:hAnsiTheme="minorHAnsi" w:cstheme="minorHAnsi"/>
                <w:color w:val="000000"/>
                <w:szCs w:val="22"/>
                <w:lang w:val="pt-PT"/>
              </w:rPr>
              <w:t>Naknade za prijevoz, za rad na terenu i odvojeni život</w:t>
            </w:r>
          </w:p>
        </w:tc>
        <w:tc>
          <w:tcPr>
            <w:tcW w:w="1134" w:type="dxa"/>
            <w:tcBorders>
              <w:top w:val="nil"/>
              <w:left w:val="nil"/>
              <w:bottom w:val="nil"/>
              <w:right w:val="nil"/>
            </w:tcBorders>
            <w:shd w:val="clear" w:color="auto" w:fill="auto"/>
            <w:noWrap/>
            <w:vAlign w:val="center"/>
            <w:hideMark/>
          </w:tcPr>
          <w:p w14:paraId="30535DC5"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070</w:t>
            </w:r>
          </w:p>
        </w:tc>
        <w:tc>
          <w:tcPr>
            <w:tcW w:w="284" w:type="dxa"/>
            <w:tcBorders>
              <w:top w:val="nil"/>
              <w:left w:val="nil"/>
              <w:bottom w:val="nil"/>
              <w:right w:val="nil"/>
            </w:tcBorders>
            <w:shd w:val="clear" w:color="auto" w:fill="auto"/>
            <w:noWrap/>
            <w:vAlign w:val="center"/>
            <w:hideMark/>
          </w:tcPr>
          <w:p w14:paraId="09410F9C"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20007A4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4.623</w:t>
            </w:r>
          </w:p>
        </w:tc>
        <w:tc>
          <w:tcPr>
            <w:tcW w:w="283" w:type="dxa"/>
            <w:tcBorders>
              <w:top w:val="nil"/>
              <w:left w:val="nil"/>
              <w:bottom w:val="nil"/>
              <w:right w:val="nil"/>
            </w:tcBorders>
            <w:shd w:val="clear" w:color="auto" w:fill="auto"/>
            <w:noWrap/>
            <w:vAlign w:val="center"/>
          </w:tcPr>
          <w:p w14:paraId="4D5F24B8"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56109284"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4.784</w:t>
            </w:r>
          </w:p>
        </w:tc>
        <w:tc>
          <w:tcPr>
            <w:tcW w:w="284" w:type="dxa"/>
            <w:tcBorders>
              <w:top w:val="nil"/>
              <w:left w:val="nil"/>
              <w:bottom w:val="nil"/>
              <w:right w:val="nil"/>
            </w:tcBorders>
            <w:shd w:val="clear" w:color="auto" w:fill="auto"/>
            <w:noWrap/>
            <w:vAlign w:val="center"/>
          </w:tcPr>
          <w:p w14:paraId="54D1AC77"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0AD23B4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161</w:t>
            </w:r>
          </w:p>
        </w:tc>
        <w:tc>
          <w:tcPr>
            <w:tcW w:w="284" w:type="dxa"/>
            <w:tcBorders>
              <w:top w:val="nil"/>
              <w:left w:val="nil"/>
              <w:bottom w:val="nil"/>
              <w:right w:val="nil"/>
            </w:tcBorders>
            <w:shd w:val="clear" w:color="auto" w:fill="auto"/>
            <w:noWrap/>
            <w:vAlign w:val="center"/>
          </w:tcPr>
          <w:p w14:paraId="3E380747"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067C0065"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103,5</w:t>
            </w:r>
          </w:p>
        </w:tc>
      </w:tr>
      <w:tr w:rsidR="00E818F7" w:rsidRPr="001116C5" w14:paraId="34F8F607" w14:textId="77777777" w:rsidTr="0086616B">
        <w:trPr>
          <w:trHeight w:val="340"/>
        </w:trPr>
        <w:tc>
          <w:tcPr>
            <w:tcW w:w="2977" w:type="dxa"/>
            <w:tcBorders>
              <w:top w:val="nil"/>
              <w:left w:val="nil"/>
              <w:bottom w:val="nil"/>
              <w:right w:val="nil"/>
            </w:tcBorders>
            <w:shd w:val="clear" w:color="auto" w:fill="auto"/>
            <w:vAlign w:val="center"/>
            <w:hideMark/>
          </w:tcPr>
          <w:p w14:paraId="38336E19"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Stručno usavršavanje radnika</w:t>
            </w:r>
          </w:p>
        </w:tc>
        <w:tc>
          <w:tcPr>
            <w:tcW w:w="1134" w:type="dxa"/>
            <w:tcBorders>
              <w:top w:val="nil"/>
              <w:left w:val="nil"/>
              <w:bottom w:val="nil"/>
              <w:right w:val="nil"/>
            </w:tcBorders>
            <w:shd w:val="clear" w:color="auto" w:fill="auto"/>
            <w:noWrap/>
            <w:vAlign w:val="center"/>
            <w:hideMark/>
          </w:tcPr>
          <w:p w14:paraId="28138076"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071</w:t>
            </w:r>
          </w:p>
        </w:tc>
        <w:tc>
          <w:tcPr>
            <w:tcW w:w="284" w:type="dxa"/>
            <w:tcBorders>
              <w:top w:val="nil"/>
              <w:left w:val="nil"/>
              <w:bottom w:val="nil"/>
              <w:right w:val="nil"/>
            </w:tcBorders>
            <w:shd w:val="clear" w:color="auto" w:fill="auto"/>
            <w:noWrap/>
            <w:vAlign w:val="center"/>
            <w:hideMark/>
          </w:tcPr>
          <w:p w14:paraId="0F33FE5F"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single" w:sz="12" w:space="0" w:color="auto"/>
              <w:right w:val="nil"/>
            </w:tcBorders>
            <w:shd w:val="clear" w:color="auto" w:fill="auto"/>
            <w:noWrap/>
            <w:vAlign w:val="center"/>
          </w:tcPr>
          <w:p w14:paraId="58B22B4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1.063</w:t>
            </w:r>
          </w:p>
        </w:tc>
        <w:tc>
          <w:tcPr>
            <w:tcW w:w="283" w:type="dxa"/>
            <w:tcBorders>
              <w:top w:val="nil"/>
              <w:left w:val="nil"/>
              <w:bottom w:val="nil"/>
              <w:right w:val="nil"/>
            </w:tcBorders>
            <w:shd w:val="clear" w:color="auto" w:fill="auto"/>
            <w:noWrap/>
            <w:vAlign w:val="center"/>
          </w:tcPr>
          <w:p w14:paraId="4632EF13"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bottom w:val="single" w:sz="12" w:space="0" w:color="auto"/>
              <w:right w:val="nil"/>
            </w:tcBorders>
            <w:shd w:val="clear" w:color="auto" w:fill="auto"/>
            <w:noWrap/>
            <w:vAlign w:val="center"/>
          </w:tcPr>
          <w:p w14:paraId="2B0A9328"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286</w:t>
            </w:r>
          </w:p>
        </w:tc>
        <w:tc>
          <w:tcPr>
            <w:tcW w:w="284" w:type="dxa"/>
            <w:tcBorders>
              <w:top w:val="nil"/>
              <w:left w:val="nil"/>
              <w:bottom w:val="nil"/>
              <w:right w:val="nil"/>
            </w:tcBorders>
            <w:shd w:val="clear" w:color="auto" w:fill="auto"/>
            <w:noWrap/>
            <w:vAlign w:val="center"/>
          </w:tcPr>
          <w:p w14:paraId="4FBC248C"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single" w:sz="12" w:space="0" w:color="auto"/>
              <w:right w:val="nil"/>
            </w:tcBorders>
            <w:shd w:val="clear" w:color="auto" w:fill="auto"/>
            <w:noWrap/>
            <w:vAlign w:val="center"/>
          </w:tcPr>
          <w:p w14:paraId="7FD2DF7B"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(777)</w:t>
            </w:r>
          </w:p>
        </w:tc>
        <w:tc>
          <w:tcPr>
            <w:tcW w:w="284" w:type="dxa"/>
            <w:tcBorders>
              <w:top w:val="nil"/>
              <w:left w:val="nil"/>
              <w:bottom w:val="nil"/>
              <w:right w:val="nil"/>
            </w:tcBorders>
            <w:shd w:val="clear" w:color="auto" w:fill="auto"/>
            <w:noWrap/>
            <w:vAlign w:val="center"/>
          </w:tcPr>
          <w:p w14:paraId="57D45C9B"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single" w:sz="12" w:space="0" w:color="auto"/>
              <w:right w:val="nil"/>
            </w:tcBorders>
            <w:shd w:val="clear" w:color="auto" w:fill="auto"/>
            <w:noWrap/>
            <w:vAlign w:val="center"/>
          </w:tcPr>
          <w:p w14:paraId="08F187F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26,9</w:t>
            </w:r>
          </w:p>
        </w:tc>
      </w:tr>
      <w:tr w:rsidR="00E818F7" w:rsidRPr="001116C5" w14:paraId="7F5D1B87" w14:textId="77777777" w:rsidTr="0086616B">
        <w:trPr>
          <w:trHeight w:val="340"/>
        </w:trPr>
        <w:tc>
          <w:tcPr>
            <w:tcW w:w="2977" w:type="dxa"/>
            <w:tcBorders>
              <w:top w:val="nil"/>
              <w:left w:val="nil"/>
              <w:bottom w:val="nil"/>
              <w:right w:val="nil"/>
            </w:tcBorders>
            <w:shd w:val="clear" w:color="auto" w:fill="auto"/>
            <w:vAlign w:val="center"/>
            <w:hideMark/>
          </w:tcPr>
          <w:p w14:paraId="4E033D57"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 naknade troškova radnicima</w:t>
            </w:r>
          </w:p>
        </w:tc>
        <w:tc>
          <w:tcPr>
            <w:tcW w:w="1134" w:type="dxa"/>
            <w:tcBorders>
              <w:top w:val="nil"/>
              <w:left w:val="nil"/>
              <w:bottom w:val="nil"/>
              <w:right w:val="nil"/>
            </w:tcBorders>
            <w:shd w:val="clear" w:color="auto" w:fill="auto"/>
            <w:noWrap/>
            <w:vAlign w:val="center"/>
            <w:hideMark/>
          </w:tcPr>
          <w:p w14:paraId="6D55016D"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068</w:t>
            </w:r>
          </w:p>
        </w:tc>
        <w:tc>
          <w:tcPr>
            <w:tcW w:w="284" w:type="dxa"/>
            <w:tcBorders>
              <w:top w:val="nil"/>
              <w:left w:val="nil"/>
              <w:bottom w:val="nil"/>
              <w:right w:val="nil"/>
            </w:tcBorders>
            <w:shd w:val="clear" w:color="auto" w:fill="auto"/>
            <w:noWrap/>
            <w:vAlign w:val="center"/>
            <w:hideMark/>
          </w:tcPr>
          <w:p w14:paraId="7124B618" w14:textId="77777777" w:rsidR="00E818F7" w:rsidRPr="001116C5" w:rsidRDefault="00E818F7" w:rsidP="0086616B">
            <w:pPr>
              <w:jc w:val="center"/>
              <w:rPr>
                <w:rFonts w:asciiTheme="minorHAnsi" w:hAnsiTheme="minorHAnsi" w:cstheme="minorHAnsi"/>
                <w:b/>
                <w:bCs/>
                <w:color w:val="000000"/>
                <w:szCs w:val="22"/>
              </w:rPr>
            </w:pPr>
          </w:p>
        </w:tc>
        <w:tc>
          <w:tcPr>
            <w:tcW w:w="1106" w:type="dxa"/>
            <w:tcBorders>
              <w:top w:val="single" w:sz="12" w:space="0" w:color="auto"/>
              <w:left w:val="nil"/>
              <w:bottom w:val="single" w:sz="12" w:space="0" w:color="auto"/>
              <w:right w:val="nil"/>
            </w:tcBorders>
            <w:shd w:val="clear" w:color="auto" w:fill="auto"/>
            <w:noWrap/>
            <w:vAlign w:val="center"/>
          </w:tcPr>
          <w:p w14:paraId="286AAE88"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11.841</w:t>
            </w:r>
          </w:p>
        </w:tc>
        <w:tc>
          <w:tcPr>
            <w:tcW w:w="283" w:type="dxa"/>
            <w:tcBorders>
              <w:top w:val="nil"/>
              <w:left w:val="nil"/>
              <w:bottom w:val="nil"/>
              <w:right w:val="nil"/>
            </w:tcBorders>
            <w:shd w:val="clear" w:color="auto" w:fill="auto"/>
            <w:noWrap/>
            <w:vAlign w:val="center"/>
          </w:tcPr>
          <w:p w14:paraId="1FB65BF8" w14:textId="77777777" w:rsidR="00E818F7" w:rsidRPr="001116C5" w:rsidRDefault="00E818F7" w:rsidP="0086616B">
            <w:pPr>
              <w:jc w:val="right"/>
              <w:rPr>
                <w:rFonts w:asciiTheme="minorHAnsi" w:hAnsiTheme="minorHAnsi" w:cstheme="minorHAnsi"/>
                <w:b/>
                <w:bCs/>
                <w:color w:val="000000"/>
                <w:szCs w:val="22"/>
              </w:rPr>
            </w:pPr>
          </w:p>
        </w:tc>
        <w:tc>
          <w:tcPr>
            <w:tcW w:w="1020" w:type="dxa"/>
            <w:tcBorders>
              <w:top w:val="single" w:sz="12" w:space="0" w:color="auto"/>
              <w:left w:val="nil"/>
              <w:bottom w:val="single" w:sz="12" w:space="0" w:color="auto"/>
              <w:right w:val="nil"/>
            </w:tcBorders>
            <w:shd w:val="clear" w:color="auto" w:fill="auto"/>
            <w:noWrap/>
            <w:vAlign w:val="center"/>
          </w:tcPr>
          <w:p w14:paraId="31F2F44A"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18.534</w:t>
            </w:r>
          </w:p>
        </w:tc>
        <w:tc>
          <w:tcPr>
            <w:tcW w:w="284" w:type="dxa"/>
            <w:tcBorders>
              <w:top w:val="nil"/>
              <w:left w:val="nil"/>
              <w:bottom w:val="nil"/>
              <w:right w:val="nil"/>
            </w:tcBorders>
            <w:shd w:val="clear" w:color="auto" w:fill="auto"/>
            <w:noWrap/>
            <w:vAlign w:val="center"/>
          </w:tcPr>
          <w:p w14:paraId="50928164" w14:textId="77777777" w:rsidR="00E818F7" w:rsidRPr="001116C5" w:rsidRDefault="00E818F7" w:rsidP="0086616B">
            <w:pPr>
              <w:jc w:val="right"/>
              <w:rPr>
                <w:rFonts w:asciiTheme="minorHAnsi" w:hAnsiTheme="minorHAnsi" w:cstheme="minorHAnsi"/>
                <w:b/>
                <w:bCs/>
                <w:color w:val="000000"/>
                <w:szCs w:val="22"/>
              </w:rPr>
            </w:pPr>
          </w:p>
        </w:tc>
        <w:tc>
          <w:tcPr>
            <w:tcW w:w="992" w:type="dxa"/>
            <w:tcBorders>
              <w:top w:val="single" w:sz="12" w:space="0" w:color="auto"/>
              <w:left w:val="nil"/>
              <w:bottom w:val="single" w:sz="12" w:space="0" w:color="auto"/>
              <w:right w:val="nil"/>
            </w:tcBorders>
            <w:shd w:val="clear" w:color="auto" w:fill="auto"/>
            <w:noWrap/>
            <w:vAlign w:val="center"/>
          </w:tcPr>
          <w:p w14:paraId="1F7AB03F"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6.693</w:t>
            </w:r>
          </w:p>
        </w:tc>
        <w:tc>
          <w:tcPr>
            <w:tcW w:w="284" w:type="dxa"/>
            <w:tcBorders>
              <w:top w:val="nil"/>
              <w:left w:val="nil"/>
              <w:bottom w:val="nil"/>
              <w:right w:val="nil"/>
            </w:tcBorders>
            <w:shd w:val="clear" w:color="auto" w:fill="auto"/>
            <w:noWrap/>
            <w:vAlign w:val="center"/>
          </w:tcPr>
          <w:p w14:paraId="40C82F56" w14:textId="77777777" w:rsidR="00E818F7" w:rsidRPr="001116C5" w:rsidRDefault="00E818F7" w:rsidP="0086616B">
            <w:pPr>
              <w:jc w:val="right"/>
              <w:rPr>
                <w:rFonts w:asciiTheme="minorHAnsi" w:hAnsiTheme="minorHAnsi" w:cstheme="minorHAnsi"/>
                <w:b/>
                <w:bCs/>
                <w:color w:val="000000"/>
                <w:szCs w:val="22"/>
              </w:rPr>
            </w:pPr>
          </w:p>
        </w:tc>
        <w:tc>
          <w:tcPr>
            <w:tcW w:w="850" w:type="dxa"/>
            <w:tcBorders>
              <w:top w:val="single" w:sz="12" w:space="0" w:color="auto"/>
              <w:left w:val="nil"/>
              <w:bottom w:val="single" w:sz="12" w:space="0" w:color="auto"/>
              <w:right w:val="nil"/>
            </w:tcBorders>
            <w:shd w:val="clear" w:color="auto" w:fill="auto"/>
            <w:noWrap/>
            <w:vAlign w:val="center"/>
          </w:tcPr>
          <w:p w14:paraId="5ACCD6E6"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156,5</w:t>
            </w:r>
          </w:p>
        </w:tc>
      </w:tr>
      <w:tr w:rsidR="00E818F7" w:rsidRPr="001116C5" w14:paraId="358C3159" w14:textId="77777777" w:rsidTr="0086616B">
        <w:trPr>
          <w:trHeight w:val="340"/>
        </w:trPr>
        <w:tc>
          <w:tcPr>
            <w:tcW w:w="2977" w:type="dxa"/>
            <w:tcBorders>
              <w:top w:val="nil"/>
              <w:left w:val="nil"/>
              <w:bottom w:val="nil"/>
              <w:right w:val="nil"/>
            </w:tcBorders>
            <w:shd w:val="clear" w:color="auto" w:fill="auto"/>
            <w:vAlign w:val="center"/>
            <w:hideMark/>
          </w:tcPr>
          <w:p w14:paraId="31F6126A"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 xml:space="preserve">Naknade za obavljanje aktivnosti </w:t>
            </w:r>
          </w:p>
        </w:tc>
        <w:tc>
          <w:tcPr>
            <w:tcW w:w="1134" w:type="dxa"/>
            <w:tcBorders>
              <w:top w:val="nil"/>
              <w:left w:val="nil"/>
              <w:bottom w:val="nil"/>
              <w:right w:val="nil"/>
            </w:tcBorders>
            <w:shd w:val="clear" w:color="auto" w:fill="auto"/>
            <w:noWrap/>
            <w:vAlign w:val="center"/>
            <w:hideMark/>
          </w:tcPr>
          <w:p w14:paraId="482D3676"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073</w:t>
            </w:r>
          </w:p>
        </w:tc>
        <w:tc>
          <w:tcPr>
            <w:tcW w:w="284" w:type="dxa"/>
            <w:tcBorders>
              <w:top w:val="nil"/>
              <w:left w:val="nil"/>
              <w:bottom w:val="nil"/>
              <w:right w:val="nil"/>
            </w:tcBorders>
            <w:shd w:val="clear" w:color="auto" w:fill="auto"/>
            <w:noWrap/>
            <w:vAlign w:val="center"/>
            <w:hideMark/>
          </w:tcPr>
          <w:p w14:paraId="098F316D"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5567CCEE"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2.475</w:t>
            </w:r>
          </w:p>
        </w:tc>
        <w:tc>
          <w:tcPr>
            <w:tcW w:w="283" w:type="dxa"/>
            <w:tcBorders>
              <w:top w:val="nil"/>
              <w:left w:val="nil"/>
              <w:bottom w:val="nil"/>
              <w:right w:val="nil"/>
            </w:tcBorders>
            <w:shd w:val="clear" w:color="auto" w:fill="auto"/>
            <w:noWrap/>
            <w:vAlign w:val="center"/>
          </w:tcPr>
          <w:p w14:paraId="0A2DB85B"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1706322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6.502</w:t>
            </w:r>
          </w:p>
        </w:tc>
        <w:tc>
          <w:tcPr>
            <w:tcW w:w="284" w:type="dxa"/>
            <w:tcBorders>
              <w:top w:val="nil"/>
              <w:left w:val="nil"/>
              <w:bottom w:val="nil"/>
              <w:right w:val="nil"/>
            </w:tcBorders>
            <w:shd w:val="clear" w:color="auto" w:fill="auto"/>
            <w:noWrap/>
            <w:vAlign w:val="center"/>
          </w:tcPr>
          <w:p w14:paraId="63BE093B"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0C75163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4.027</w:t>
            </w:r>
          </w:p>
        </w:tc>
        <w:tc>
          <w:tcPr>
            <w:tcW w:w="284" w:type="dxa"/>
            <w:tcBorders>
              <w:top w:val="nil"/>
              <w:left w:val="nil"/>
              <w:bottom w:val="nil"/>
              <w:right w:val="nil"/>
            </w:tcBorders>
            <w:shd w:val="clear" w:color="auto" w:fill="auto"/>
            <w:noWrap/>
            <w:vAlign w:val="center"/>
          </w:tcPr>
          <w:p w14:paraId="02E13603"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14E1CD4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262,7</w:t>
            </w:r>
          </w:p>
        </w:tc>
      </w:tr>
      <w:tr w:rsidR="00E818F7" w:rsidRPr="001116C5" w14:paraId="6239D921" w14:textId="77777777" w:rsidTr="0086616B">
        <w:trPr>
          <w:trHeight w:val="340"/>
        </w:trPr>
        <w:tc>
          <w:tcPr>
            <w:tcW w:w="2977" w:type="dxa"/>
            <w:tcBorders>
              <w:top w:val="nil"/>
              <w:left w:val="nil"/>
              <w:bottom w:val="nil"/>
              <w:right w:val="nil"/>
            </w:tcBorders>
            <w:shd w:val="clear" w:color="auto" w:fill="auto"/>
            <w:vAlign w:val="center"/>
            <w:hideMark/>
          </w:tcPr>
          <w:p w14:paraId="5E4E020A"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Naknade troškova službenih putovanja</w:t>
            </w:r>
          </w:p>
        </w:tc>
        <w:tc>
          <w:tcPr>
            <w:tcW w:w="1134" w:type="dxa"/>
            <w:tcBorders>
              <w:top w:val="nil"/>
              <w:left w:val="nil"/>
              <w:bottom w:val="nil"/>
              <w:right w:val="nil"/>
            </w:tcBorders>
            <w:shd w:val="clear" w:color="auto" w:fill="auto"/>
            <w:noWrap/>
            <w:vAlign w:val="center"/>
            <w:hideMark/>
          </w:tcPr>
          <w:p w14:paraId="71B12A3F"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074</w:t>
            </w:r>
          </w:p>
        </w:tc>
        <w:tc>
          <w:tcPr>
            <w:tcW w:w="284" w:type="dxa"/>
            <w:tcBorders>
              <w:top w:val="nil"/>
              <w:left w:val="nil"/>
              <w:bottom w:val="nil"/>
              <w:right w:val="nil"/>
            </w:tcBorders>
            <w:shd w:val="clear" w:color="auto" w:fill="auto"/>
            <w:noWrap/>
            <w:vAlign w:val="center"/>
            <w:hideMark/>
          </w:tcPr>
          <w:p w14:paraId="34AEB351"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single" w:sz="12" w:space="0" w:color="auto"/>
              <w:right w:val="nil"/>
            </w:tcBorders>
            <w:shd w:val="clear" w:color="auto" w:fill="auto"/>
            <w:noWrap/>
            <w:vAlign w:val="center"/>
          </w:tcPr>
          <w:p w14:paraId="2D21EAC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592</w:t>
            </w:r>
          </w:p>
        </w:tc>
        <w:tc>
          <w:tcPr>
            <w:tcW w:w="283" w:type="dxa"/>
            <w:tcBorders>
              <w:top w:val="nil"/>
              <w:left w:val="nil"/>
              <w:bottom w:val="nil"/>
              <w:right w:val="nil"/>
            </w:tcBorders>
            <w:shd w:val="clear" w:color="auto" w:fill="auto"/>
            <w:noWrap/>
            <w:vAlign w:val="center"/>
          </w:tcPr>
          <w:p w14:paraId="09392259"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bottom w:val="single" w:sz="12" w:space="0" w:color="auto"/>
              <w:right w:val="nil"/>
            </w:tcBorders>
            <w:shd w:val="clear" w:color="auto" w:fill="auto"/>
            <w:noWrap/>
            <w:vAlign w:val="center"/>
          </w:tcPr>
          <w:p w14:paraId="6FE77770"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628</w:t>
            </w:r>
          </w:p>
        </w:tc>
        <w:tc>
          <w:tcPr>
            <w:tcW w:w="284" w:type="dxa"/>
            <w:tcBorders>
              <w:top w:val="nil"/>
              <w:left w:val="nil"/>
              <w:bottom w:val="nil"/>
              <w:right w:val="nil"/>
            </w:tcBorders>
            <w:shd w:val="clear" w:color="auto" w:fill="auto"/>
            <w:noWrap/>
            <w:vAlign w:val="center"/>
          </w:tcPr>
          <w:p w14:paraId="1DDDEBFD"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single" w:sz="12" w:space="0" w:color="auto"/>
              <w:right w:val="nil"/>
            </w:tcBorders>
            <w:shd w:val="clear" w:color="auto" w:fill="auto"/>
            <w:noWrap/>
            <w:vAlign w:val="center"/>
          </w:tcPr>
          <w:p w14:paraId="65B31CC1"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36</w:t>
            </w:r>
          </w:p>
        </w:tc>
        <w:tc>
          <w:tcPr>
            <w:tcW w:w="284" w:type="dxa"/>
            <w:tcBorders>
              <w:top w:val="nil"/>
              <w:left w:val="nil"/>
              <w:bottom w:val="nil"/>
              <w:right w:val="nil"/>
            </w:tcBorders>
            <w:shd w:val="clear" w:color="auto" w:fill="auto"/>
            <w:noWrap/>
            <w:vAlign w:val="center"/>
          </w:tcPr>
          <w:p w14:paraId="2362FBC5"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single" w:sz="12" w:space="0" w:color="auto"/>
              <w:right w:val="nil"/>
            </w:tcBorders>
            <w:shd w:val="clear" w:color="auto" w:fill="auto"/>
            <w:noWrap/>
            <w:vAlign w:val="center"/>
          </w:tcPr>
          <w:p w14:paraId="27617E5F"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106,1</w:t>
            </w:r>
          </w:p>
        </w:tc>
      </w:tr>
      <w:tr w:rsidR="00E818F7" w:rsidRPr="001116C5" w14:paraId="58CC3196" w14:textId="77777777" w:rsidTr="0086616B">
        <w:trPr>
          <w:trHeight w:val="340"/>
        </w:trPr>
        <w:tc>
          <w:tcPr>
            <w:tcW w:w="2977" w:type="dxa"/>
            <w:tcBorders>
              <w:top w:val="nil"/>
              <w:left w:val="nil"/>
              <w:bottom w:val="nil"/>
              <w:right w:val="nil"/>
            </w:tcBorders>
            <w:shd w:val="clear" w:color="auto" w:fill="auto"/>
            <w:vAlign w:val="center"/>
            <w:hideMark/>
          </w:tcPr>
          <w:p w14:paraId="604B9FED"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 naknade članovima u predstavničkim i izvršnim tijelima, povjerenstvima i slično</w:t>
            </w:r>
          </w:p>
        </w:tc>
        <w:tc>
          <w:tcPr>
            <w:tcW w:w="1134" w:type="dxa"/>
            <w:tcBorders>
              <w:top w:val="nil"/>
              <w:left w:val="nil"/>
              <w:bottom w:val="nil"/>
              <w:right w:val="nil"/>
            </w:tcBorders>
            <w:shd w:val="clear" w:color="auto" w:fill="auto"/>
            <w:noWrap/>
            <w:vAlign w:val="center"/>
            <w:hideMark/>
          </w:tcPr>
          <w:p w14:paraId="5043383D"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072</w:t>
            </w:r>
          </w:p>
        </w:tc>
        <w:tc>
          <w:tcPr>
            <w:tcW w:w="284" w:type="dxa"/>
            <w:tcBorders>
              <w:top w:val="nil"/>
              <w:left w:val="nil"/>
              <w:bottom w:val="nil"/>
              <w:right w:val="nil"/>
            </w:tcBorders>
            <w:shd w:val="clear" w:color="auto" w:fill="auto"/>
            <w:noWrap/>
            <w:vAlign w:val="center"/>
            <w:hideMark/>
          </w:tcPr>
          <w:p w14:paraId="3DD160A4" w14:textId="77777777" w:rsidR="00E818F7" w:rsidRPr="001116C5" w:rsidRDefault="00E818F7" w:rsidP="0086616B">
            <w:pPr>
              <w:jc w:val="center"/>
              <w:rPr>
                <w:rFonts w:asciiTheme="minorHAnsi" w:hAnsiTheme="minorHAnsi" w:cstheme="minorHAnsi"/>
                <w:b/>
                <w:bCs/>
                <w:color w:val="000000"/>
                <w:szCs w:val="22"/>
              </w:rPr>
            </w:pPr>
          </w:p>
        </w:tc>
        <w:tc>
          <w:tcPr>
            <w:tcW w:w="1106" w:type="dxa"/>
            <w:tcBorders>
              <w:top w:val="single" w:sz="12" w:space="0" w:color="auto"/>
              <w:left w:val="nil"/>
              <w:bottom w:val="single" w:sz="12" w:space="0" w:color="auto"/>
              <w:right w:val="nil"/>
            </w:tcBorders>
            <w:shd w:val="clear" w:color="auto" w:fill="auto"/>
            <w:noWrap/>
            <w:vAlign w:val="center"/>
          </w:tcPr>
          <w:p w14:paraId="24753D4F"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3.067</w:t>
            </w:r>
          </w:p>
        </w:tc>
        <w:tc>
          <w:tcPr>
            <w:tcW w:w="283" w:type="dxa"/>
            <w:tcBorders>
              <w:top w:val="nil"/>
              <w:left w:val="nil"/>
              <w:bottom w:val="nil"/>
              <w:right w:val="nil"/>
            </w:tcBorders>
            <w:shd w:val="clear" w:color="auto" w:fill="auto"/>
            <w:noWrap/>
            <w:vAlign w:val="center"/>
          </w:tcPr>
          <w:p w14:paraId="40BDCF59" w14:textId="77777777" w:rsidR="00E818F7" w:rsidRPr="001116C5" w:rsidRDefault="00E818F7" w:rsidP="0086616B">
            <w:pPr>
              <w:jc w:val="right"/>
              <w:rPr>
                <w:rFonts w:asciiTheme="minorHAnsi" w:hAnsiTheme="minorHAnsi" w:cstheme="minorHAnsi"/>
                <w:b/>
                <w:bCs/>
                <w:color w:val="000000"/>
                <w:szCs w:val="22"/>
              </w:rPr>
            </w:pPr>
          </w:p>
        </w:tc>
        <w:tc>
          <w:tcPr>
            <w:tcW w:w="1020" w:type="dxa"/>
            <w:tcBorders>
              <w:top w:val="single" w:sz="12" w:space="0" w:color="auto"/>
              <w:left w:val="nil"/>
              <w:bottom w:val="single" w:sz="12" w:space="0" w:color="auto"/>
              <w:right w:val="nil"/>
            </w:tcBorders>
            <w:shd w:val="clear" w:color="auto" w:fill="auto"/>
            <w:noWrap/>
            <w:vAlign w:val="center"/>
          </w:tcPr>
          <w:p w14:paraId="4CC86664"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7.130</w:t>
            </w:r>
          </w:p>
        </w:tc>
        <w:tc>
          <w:tcPr>
            <w:tcW w:w="284" w:type="dxa"/>
            <w:tcBorders>
              <w:top w:val="nil"/>
              <w:left w:val="nil"/>
              <w:bottom w:val="nil"/>
              <w:right w:val="nil"/>
            </w:tcBorders>
            <w:shd w:val="clear" w:color="auto" w:fill="auto"/>
            <w:noWrap/>
            <w:vAlign w:val="center"/>
          </w:tcPr>
          <w:p w14:paraId="3F0CFB18" w14:textId="77777777" w:rsidR="00E818F7" w:rsidRPr="001116C5" w:rsidRDefault="00E818F7" w:rsidP="0086616B">
            <w:pPr>
              <w:jc w:val="right"/>
              <w:rPr>
                <w:rFonts w:asciiTheme="minorHAnsi" w:hAnsiTheme="minorHAnsi" w:cstheme="minorHAnsi"/>
                <w:b/>
                <w:bCs/>
                <w:color w:val="000000"/>
                <w:szCs w:val="22"/>
              </w:rPr>
            </w:pPr>
          </w:p>
        </w:tc>
        <w:tc>
          <w:tcPr>
            <w:tcW w:w="992" w:type="dxa"/>
            <w:tcBorders>
              <w:top w:val="single" w:sz="12" w:space="0" w:color="auto"/>
              <w:left w:val="nil"/>
              <w:bottom w:val="single" w:sz="12" w:space="0" w:color="auto"/>
              <w:right w:val="nil"/>
            </w:tcBorders>
            <w:shd w:val="clear" w:color="auto" w:fill="auto"/>
            <w:noWrap/>
            <w:vAlign w:val="center"/>
          </w:tcPr>
          <w:p w14:paraId="7009AFB7"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4.063</w:t>
            </w:r>
          </w:p>
        </w:tc>
        <w:tc>
          <w:tcPr>
            <w:tcW w:w="284" w:type="dxa"/>
            <w:tcBorders>
              <w:top w:val="nil"/>
              <w:left w:val="nil"/>
              <w:bottom w:val="nil"/>
              <w:right w:val="nil"/>
            </w:tcBorders>
            <w:shd w:val="clear" w:color="auto" w:fill="auto"/>
            <w:noWrap/>
            <w:vAlign w:val="center"/>
          </w:tcPr>
          <w:p w14:paraId="3EA7042E" w14:textId="77777777" w:rsidR="00E818F7" w:rsidRPr="001116C5" w:rsidRDefault="00E818F7" w:rsidP="0086616B">
            <w:pPr>
              <w:jc w:val="right"/>
              <w:rPr>
                <w:rFonts w:asciiTheme="minorHAnsi" w:hAnsiTheme="minorHAnsi" w:cstheme="minorHAnsi"/>
                <w:b/>
                <w:bCs/>
                <w:color w:val="000000"/>
                <w:szCs w:val="22"/>
              </w:rPr>
            </w:pPr>
          </w:p>
        </w:tc>
        <w:tc>
          <w:tcPr>
            <w:tcW w:w="850" w:type="dxa"/>
            <w:tcBorders>
              <w:top w:val="single" w:sz="12" w:space="0" w:color="auto"/>
              <w:left w:val="nil"/>
              <w:bottom w:val="single" w:sz="12" w:space="0" w:color="auto"/>
              <w:right w:val="nil"/>
            </w:tcBorders>
            <w:shd w:val="clear" w:color="auto" w:fill="auto"/>
            <w:noWrap/>
            <w:vAlign w:val="center"/>
          </w:tcPr>
          <w:p w14:paraId="28582690"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232,5</w:t>
            </w:r>
          </w:p>
        </w:tc>
      </w:tr>
      <w:tr w:rsidR="00E818F7" w:rsidRPr="001116C5" w14:paraId="70C8F040" w14:textId="77777777" w:rsidTr="0086616B">
        <w:trPr>
          <w:trHeight w:val="340"/>
        </w:trPr>
        <w:tc>
          <w:tcPr>
            <w:tcW w:w="2977" w:type="dxa"/>
            <w:tcBorders>
              <w:top w:val="nil"/>
              <w:left w:val="nil"/>
              <w:bottom w:val="nil"/>
              <w:right w:val="nil"/>
            </w:tcBorders>
            <w:shd w:val="clear" w:color="auto" w:fill="auto"/>
            <w:vAlign w:val="center"/>
            <w:hideMark/>
          </w:tcPr>
          <w:p w14:paraId="2C972814"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Naknada za obavljanje aktivnosti</w:t>
            </w:r>
          </w:p>
        </w:tc>
        <w:tc>
          <w:tcPr>
            <w:tcW w:w="1134" w:type="dxa"/>
            <w:tcBorders>
              <w:top w:val="nil"/>
              <w:left w:val="nil"/>
              <w:bottom w:val="nil"/>
              <w:right w:val="nil"/>
            </w:tcBorders>
            <w:shd w:val="clear" w:color="auto" w:fill="auto"/>
            <w:noWrap/>
            <w:vAlign w:val="center"/>
            <w:hideMark/>
          </w:tcPr>
          <w:p w14:paraId="3DE93FE9"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083</w:t>
            </w:r>
          </w:p>
        </w:tc>
        <w:tc>
          <w:tcPr>
            <w:tcW w:w="284" w:type="dxa"/>
            <w:tcBorders>
              <w:top w:val="nil"/>
              <w:left w:val="nil"/>
              <w:bottom w:val="nil"/>
              <w:right w:val="nil"/>
            </w:tcBorders>
            <w:shd w:val="clear" w:color="auto" w:fill="auto"/>
            <w:noWrap/>
            <w:vAlign w:val="center"/>
            <w:hideMark/>
          </w:tcPr>
          <w:p w14:paraId="3845B3C6"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650E7C8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84.750</w:t>
            </w:r>
          </w:p>
        </w:tc>
        <w:tc>
          <w:tcPr>
            <w:tcW w:w="283" w:type="dxa"/>
            <w:tcBorders>
              <w:top w:val="nil"/>
              <w:left w:val="nil"/>
              <w:bottom w:val="nil"/>
              <w:right w:val="nil"/>
            </w:tcBorders>
            <w:shd w:val="clear" w:color="auto" w:fill="auto"/>
            <w:noWrap/>
            <w:vAlign w:val="center"/>
          </w:tcPr>
          <w:p w14:paraId="77CB6F4D" w14:textId="77777777" w:rsidR="00E818F7" w:rsidRPr="001116C5" w:rsidRDefault="00E818F7" w:rsidP="0086616B">
            <w:pPr>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5279C24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182.222</w:t>
            </w:r>
          </w:p>
        </w:tc>
        <w:tc>
          <w:tcPr>
            <w:tcW w:w="284" w:type="dxa"/>
            <w:tcBorders>
              <w:top w:val="nil"/>
              <w:left w:val="nil"/>
              <w:bottom w:val="nil"/>
              <w:right w:val="nil"/>
            </w:tcBorders>
            <w:shd w:val="clear" w:color="auto" w:fill="auto"/>
            <w:noWrap/>
            <w:vAlign w:val="center"/>
          </w:tcPr>
          <w:p w14:paraId="241EE773" w14:textId="77777777" w:rsidR="00E818F7" w:rsidRPr="001116C5" w:rsidRDefault="00E818F7" w:rsidP="0086616B">
            <w:pPr>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50A1EF75"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97.472</w:t>
            </w:r>
          </w:p>
        </w:tc>
        <w:tc>
          <w:tcPr>
            <w:tcW w:w="284" w:type="dxa"/>
            <w:tcBorders>
              <w:top w:val="nil"/>
              <w:left w:val="nil"/>
              <w:bottom w:val="nil"/>
              <w:right w:val="nil"/>
            </w:tcBorders>
            <w:shd w:val="clear" w:color="auto" w:fill="auto"/>
            <w:noWrap/>
            <w:vAlign w:val="center"/>
          </w:tcPr>
          <w:p w14:paraId="6F6C3CAF"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2660F5F8"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215,0</w:t>
            </w:r>
          </w:p>
        </w:tc>
      </w:tr>
      <w:tr w:rsidR="00E818F7" w:rsidRPr="001116C5" w14:paraId="789C4446" w14:textId="77777777" w:rsidTr="0086616B">
        <w:trPr>
          <w:trHeight w:val="340"/>
        </w:trPr>
        <w:tc>
          <w:tcPr>
            <w:tcW w:w="2977" w:type="dxa"/>
            <w:tcBorders>
              <w:top w:val="nil"/>
              <w:left w:val="nil"/>
              <w:bottom w:val="nil"/>
              <w:right w:val="nil"/>
            </w:tcBorders>
            <w:shd w:val="clear" w:color="auto" w:fill="auto"/>
            <w:vAlign w:val="center"/>
          </w:tcPr>
          <w:p w14:paraId="67B5BA30"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Naknade troškova službenih putovanja</w:t>
            </w:r>
          </w:p>
        </w:tc>
        <w:tc>
          <w:tcPr>
            <w:tcW w:w="1134" w:type="dxa"/>
            <w:tcBorders>
              <w:top w:val="nil"/>
              <w:left w:val="nil"/>
              <w:bottom w:val="nil"/>
              <w:right w:val="nil"/>
            </w:tcBorders>
            <w:shd w:val="clear" w:color="auto" w:fill="auto"/>
            <w:noWrap/>
            <w:vAlign w:val="center"/>
          </w:tcPr>
          <w:p w14:paraId="41B4B5DA"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084</w:t>
            </w:r>
          </w:p>
        </w:tc>
        <w:tc>
          <w:tcPr>
            <w:tcW w:w="284" w:type="dxa"/>
            <w:tcBorders>
              <w:top w:val="nil"/>
              <w:left w:val="nil"/>
              <w:bottom w:val="nil"/>
              <w:right w:val="nil"/>
            </w:tcBorders>
            <w:shd w:val="clear" w:color="auto" w:fill="auto"/>
            <w:noWrap/>
            <w:vAlign w:val="center"/>
          </w:tcPr>
          <w:p w14:paraId="4CB1540C"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49F220C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6.688</w:t>
            </w:r>
          </w:p>
        </w:tc>
        <w:tc>
          <w:tcPr>
            <w:tcW w:w="283" w:type="dxa"/>
            <w:tcBorders>
              <w:top w:val="nil"/>
              <w:left w:val="nil"/>
              <w:bottom w:val="nil"/>
              <w:right w:val="nil"/>
            </w:tcBorders>
            <w:shd w:val="clear" w:color="auto" w:fill="auto"/>
            <w:noWrap/>
            <w:vAlign w:val="center"/>
          </w:tcPr>
          <w:p w14:paraId="68DF887E" w14:textId="77777777" w:rsidR="00E818F7" w:rsidRPr="001116C5" w:rsidRDefault="00E818F7" w:rsidP="0086616B">
            <w:pPr>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628437B1"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54.245</w:t>
            </w:r>
          </w:p>
        </w:tc>
        <w:tc>
          <w:tcPr>
            <w:tcW w:w="284" w:type="dxa"/>
            <w:tcBorders>
              <w:top w:val="nil"/>
              <w:left w:val="nil"/>
              <w:bottom w:val="nil"/>
              <w:right w:val="nil"/>
            </w:tcBorders>
            <w:shd w:val="clear" w:color="auto" w:fill="auto"/>
            <w:noWrap/>
            <w:vAlign w:val="center"/>
          </w:tcPr>
          <w:p w14:paraId="05596D0D" w14:textId="77777777" w:rsidR="00E818F7" w:rsidRPr="001116C5" w:rsidRDefault="00E818F7" w:rsidP="0086616B">
            <w:pPr>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52B946D7"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47.557</w:t>
            </w:r>
          </w:p>
        </w:tc>
        <w:tc>
          <w:tcPr>
            <w:tcW w:w="284" w:type="dxa"/>
            <w:tcBorders>
              <w:top w:val="nil"/>
              <w:left w:val="nil"/>
              <w:bottom w:val="nil"/>
              <w:right w:val="nil"/>
            </w:tcBorders>
            <w:shd w:val="clear" w:color="auto" w:fill="auto"/>
            <w:noWrap/>
            <w:vAlign w:val="center"/>
          </w:tcPr>
          <w:p w14:paraId="28DF8C02"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230B03C4"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811,1</w:t>
            </w:r>
          </w:p>
        </w:tc>
      </w:tr>
      <w:tr w:rsidR="00E818F7" w:rsidRPr="001116C5" w14:paraId="7CA2339A" w14:textId="77777777" w:rsidTr="0086616B">
        <w:trPr>
          <w:trHeight w:val="340"/>
        </w:trPr>
        <w:tc>
          <w:tcPr>
            <w:tcW w:w="2977" w:type="dxa"/>
            <w:tcBorders>
              <w:top w:val="nil"/>
              <w:left w:val="nil"/>
              <w:bottom w:val="nil"/>
              <w:right w:val="nil"/>
            </w:tcBorders>
            <w:shd w:val="clear" w:color="auto" w:fill="auto"/>
            <w:vAlign w:val="center"/>
            <w:hideMark/>
          </w:tcPr>
          <w:p w14:paraId="1DF43BF9"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Naknade ostalih troškova</w:t>
            </w:r>
          </w:p>
        </w:tc>
        <w:tc>
          <w:tcPr>
            <w:tcW w:w="1134" w:type="dxa"/>
            <w:tcBorders>
              <w:top w:val="nil"/>
              <w:left w:val="nil"/>
              <w:bottom w:val="nil"/>
              <w:right w:val="nil"/>
            </w:tcBorders>
            <w:shd w:val="clear" w:color="auto" w:fill="auto"/>
            <w:noWrap/>
            <w:vAlign w:val="center"/>
            <w:hideMark/>
          </w:tcPr>
          <w:p w14:paraId="3DAD93C0"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085</w:t>
            </w:r>
          </w:p>
        </w:tc>
        <w:tc>
          <w:tcPr>
            <w:tcW w:w="284" w:type="dxa"/>
            <w:tcBorders>
              <w:top w:val="nil"/>
              <w:left w:val="nil"/>
              <w:bottom w:val="nil"/>
              <w:right w:val="nil"/>
            </w:tcBorders>
            <w:shd w:val="clear" w:color="auto" w:fill="auto"/>
            <w:noWrap/>
            <w:vAlign w:val="center"/>
            <w:hideMark/>
          </w:tcPr>
          <w:p w14:paraId="470A13DA"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single" w:sz="12" w:space="0" w:color="auto"/>
              <w:right w:val="nil"/>
            </w:tcBorders>
            <w:shd w:val="clear" w:color="auto" w:fill="auto"/>
            <w:noWrap/>
            <w:vAlign w:val="center"/>
          </w:tcPr>
          <w:p w14:paraId="68A869A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40</w:t>
            </w:r>
          </w:p>
        </w:tc>
        <w:tc>
          <w:tcPr>
            <w:tcW w:w="283" w:type="dxa"/>
            <w:tcBorders>
              <w:top w:val="nil"/>
              <w:left w:val="nil"/>
              <w:bottom w:val="nil"/>
              <w:right w:val="nil"/>
            </w:tcBorders>
            <w:shd w:val="clear" w:color="auto" w:fill="auto"/>
            <w:noWrap/>
            <w:vAlign w:val="center"/>
          </w:tcPr>
          <w:p w14:paraId="1FE96B15" w14:textId="77777777" w:rsidR="00E818F7" w:rsidRPr="001116C5" w:rsidRDefault="00E818F7" w:rsidP="0086616B">
            <w:pPr>
              <w:jc w:val="right"/>
              <w:rPr>
                <w:rFonts w:asciiTheme="minorHAnsi" w:hAnsiTheme="minorHAnsi" w:cstheme="minorHAnsi"/>
                <w:szCs w:val="22"/>
              </w:rPr>
            </w:pPr>
          </w:p>
        </w:tc>
        <w:tc>
          <w:tcPr>
            <w:tcW w:w="1020" w:type="dxa"/>
            <w:tcBorders>
              <w:top w:val="nil"/>
              <w:left w:val="nil"/>
              <w:bottom w:val="single" w:sz="12" w:space="0" w:color="auto"/>
              <w:right w:val="nil"/>
            </w:tcBorders>
            <w:shd w:val="clear" w:color="auto" w:fill="auto"/>
            <w:noWrap/>
            <w:vAlign w:val="center"/>
          </w:tcPr>
          <w:p w14:paraId="58BDC870"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c>
          <w:tcPr>
            <w:tcW w:w="284" w:type="dxa"/>
            <w:tcBorders>
              <w:top w:val="nil"/>
              <w:left w:val="nil"/>
              <w:bottom w:val="nil"/>
              <w:right w:val="nil"/>
            </w:tcBorders>
            <w:shd w:val="clear" w:color="auto" w:fill="auto"/>
            <w:noWrap/>
            <w:vAlign w:val="center"/>
          </w:tcPr>
          <w:p w14:paraId="03BF594B"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single" w:sz="12" w:space="0" w:color="auto"/>
              <w:right w:val="nil"/>
            </w:tcBorders>
            <w:shd w:val="clear" w:color="auto" w:fill="auto"/>
            <w:noWrap/>
            <w:vAlign w:val="center"/>
          </w:tcPr>
          <w:p w14:paraId="5ED1353C"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(40)</w:t>
            </w:r>
          </w:p>
        </w:tc>
        <w:tc>
          <w:tcPr>
            <w:tcW w:w="284" w:type="dxa"/>
            <w:tcBorders>
              <w:top w:val="nil"/>
              <w:left w:val="nil"/>
              <w:bottom w:val="nil"/>
              <w:right w:val="nil"/>
            </w:tcBorders>
            <w:shd w:val="clear" w:color="auto" w:fill="auto"/>
            <w:noWrap/>
            <w:vAlign w:val="center"/>
          </w:tcPr>
          <w:p w14:paraId="1AF43855"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single" w:sz="12" w:space="0" w:color="auto"/>
              <w:right w:val="nil"/>
            </w:tcBorders>
            <w:shd w:val="clear" w:color="auto" w:fill="auto"/>
            <w:noWrap/>
            <w:vAlign w:val="center"/>
          </w:tcPr>
          <w:p w14:paraId="2621E02F" w14:textId="77777777" w:rsidR="00E818F7" w:rsidRPr="001116C5" w:rsidRDefault="00E818F7" w:rsidP="0086616B">
            <w:pPr>
              <w:jc w:val="right"/>
              <w:rPr>
                <w:rFonts w:asciiTheme="minorHAnsi" w:hAnsiTheme="minorHAnsi" w:cstheme="minorHAnsi"/>
                <w:szCs w:val="22"/>
              </w:rPr>
            </w:pPr>
            <w:r w:rsidRPr="001116C5">
              <w:rPr>
                <w:rFonts w:asciiTheme="minorHAnsi" w:hAnsiTheme="minorHAnsi" w:cstheme="minorHAnsi"/>
                <w:szCs w:val="22"/>
              </w:rPr>
              <w:t>-</w:t>
            </w:r>
          </w:p>
        </w:tc>
      </w:tr>
      <w:tr w:rsidR="00E818F7" w:rsidRPr="001116C5" w14:paraId="4BCBC614" w14:textId="77777777" w:rsidTr="0086616B">
        <w:trPr>
          <w:trHeight w:val="340"/>
        </w:trPr>
        <w:tc>
          <w:tcPr>
            <w:tcW w:w="2977" w:type="dxa"/>
            <w:tcBorders>
              <w:top w:val="nil"/>
              <w:left w:val="nil"/>
              <w:bottom w:val="nil"/>
              <w:right w:val="nil"/>
            </w:tcBorders>
            <w:shd w:val="clear" w:color="auto" w:fill="auto"/>
            <w:vAlign w:val="center"/>
            <w:hideMark/>
          </w:tcPr>
          <w:p w14:paraId="75A2948D" w14:textId="77777777" w:rsidR="00E818F7" w:rsidRPr="001116C5" w:rsidRDefault="00E818F7" w:rsidP="0086616B">
            <w:pPr>
              <w:rPr>
                <w:rFonts w:asciiTheme="minorHAnsi" w:hAnsiTheme="minorHAnsi" w:cstheme="minorHAnsi"/>
                <w:b/>
                <w:bCs/>
                <w:color w:val="000000"/>
                <w:szCs w:val="22"/>
                <w:lang w:val="pt-PT"/>
              </w:rPr>
            </w:pPr>
            <w:r w:rsidRPr="001116C5">
              <w:rPr>
                <w:rFonts w:asciiTheme="minorHAnsi" w:hAnsiTheme="minorHAnsi" w:cstheme="minorHAnsi"/>
                <w:b/>
                <w:bCs/>
                <w:color w:val="000000"/>
                <w:szCs w:val="22"/>
                <w:lang w:val="pt-PT"/>
              </w:rPr>
              <w:t xml:space="preserve">Ukupno naknade ostalim osobama izvan radnog odnosa </w:t>
            </w:r>
          </w:p>
        </w:tc>
        <w:tc>
          <w:tcPr>
            <w:tcW w:w="1134" w:type="dxa"/>
            <w:tcBorders>
              <w:top w:val="nil"/>
              <w:left w:val="nil"/>
              <w:bottom w:val="nil"/>
              <w:right w:val="nil"/>
            </w:tcBorders>
            <w:shd w:val="clear" w:color="auto" w:fill="auto"/>
            <w:noWrap/>
            <w:vAlign w:val="center"/>
            <w:hideMark/>
          </w:tcPr>
          <w:p w14:paraId="7929DDEE"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082</w:t>
            </w:r>
          </w:p>
        </w:tc>
        <w:tc>
          <w:tcPr>
            <w:tcW w:w="284" w:type="dxa"/>
            <w:tcBorders>
              <w:top w:val="nil"/>
              <w:left w:val="nil"/>
              <w:bottom w:val="nil"/>
              <w:right w:val="nil"/>
            </w:tcBorders>
            <w:shd w:val="clear" w:color="auto" w:fill="auto"/>
            <w:noWrap/>
            <w:vAlign w:val="center"/>
            <w:hideMark/>
          </w:tcPr>
          <w:p w14:paraId="5633E547" w14:textId="77777777" w:rsidR="00E818F7" w:rsidRPr="001116C5" w:rsidRDefault="00E818F7" w:rsidP="0086616B">
            <w:pPr>
              <w:jc w:val="center"/>
              <w:rPr>
                <w:rFonts w:asciiTheme="minorHAnsi" w:hAnsiTheme="minorHAnsi" w:cstheme="minorHAnsi"/>
                <w:b/>
                <w:bCs/>
                <w:color w:val="000000"/>
                <w:szCs w:val="22"/>
              </w:rPr>
            </w:pPr>
          </w:p>
        </w:tc>
        <w:tc>
          <w:tcPr>
            <w:tcW w:w="1106" w:type="dxa"/>
            <w:tcBorders>
              <w:top w:val="single" w:sz="12" w:space="0" w:color="auto"/>
              <w:left w:val="nil"/>
              <w:bottom w:val="single" w:sz="12" w:space="0" w:color="auto"/>
              <w:right w:val="nil"/>
            </w:tcBorders>
            <w:shd w:val="clear" w:color="auto" w:fill="auto"/>
            <w:noWrap/>
            <w:vAlign w:val="center"/>
          </w:tcPr>
          <w:p w14:paraId="1FEFAB56"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91.478</w:t>
            </w:r>
          </w:p>
        </w:tc>
        <w:tc>
          <w:tcPr>
            <w:tcW w:w="283" w:type="dxa"/>
            <w:tcBorders>
              <w:top w:val="nil"/>
              <w:left w:val="nil"/>
              <w:bottom w:val="nil"/>
              <w:right w:val="nil"/>
            </w:tcBorders>
            <w:shd w:val="clear" w:color="auto" w:fill="auto"/>
            <w:noWrap/>
            <w:vAlign w:val="center"/>
          </w:tcPr>
          <w:p w14:paraId="488CD437" w14:textId="77777777" w:rsidR="00E818F7" w:rsidRPr="001116C5" w:rsidRDefault="00E818F7" w:rsidP="0086616B">
            <w:pPr>
              <w:jc w:val="right"/>
              <w:rPr>
                <w:rFonts w:asciiTheme="minorHAnsi" w:hAnsiTheme="minorHAnsi" w:cstheme="minorHAnsi"/>
                <w:b/>
                <w:bCs/>
                <w:color w:val="000000"/>
                <w:szCs w:val="22"/>
              </w:rPr>
            </w:pPr>
          </w:p>
        </w:tc>
        <w:tc>
          <w:tcPr>
            <w:tcW w:w="1020" w:type="dxa"/>
            <w:tcBorders>
              <w:top w:val="single" w:sz="12" w:space="0" w:color="auto"/>
              <w:left w:val="nil"/>
              <w:bottom w:val="single" w:sz="12" w:space="0" w:color="auto"/>
              <w:right w:val="nil"/>
            </w:tcBorders>
            <w:shd w:val="clear" w:color="auto" w:fill="auto"/>
            <w:noWrap/>
            <w:vAlign w:val="center"/>
          </w:tcPr>
          <w:p w14:paraId="5DB610E1"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236.467</w:t>
            </w:r>
          </w:p>
        </w:tc>
        <w:tc>
          <w:tcPr>
            <w:tcW w:w="284" w:type="dxa"/>
            <w:tcBorders>
              <w:top w:val="nil"/>
              <w:left w:val="nil"/>
              <w:bottom w:val="nil"/>
              <w:right w:val="nil"/>
            </w:tcBorders>
            <w:shd w:val="clear" w:color="auto" w:fill="auto"/>
            <w:noWrap/>
            <w:vAlign w:val="center"/>
          </w:tcPr>
          <w:p w14:paraId="2CB26BD8" w14:textId="77777777" w:rsidR="00E818F7" w:rsidRPr="001116C5" w:rsidRDefault="00E818F7" w:rsidP="0086616B">
            <w:pPr>
              <w:jc w:val="right"/>
              <w:rPr>
                <w:rFonts w:asciiTheme="minorHAnsi" w:hAnsiTheme="minorHAnsi" w:cstheme="minorHAnsi"/>
                <w:b/>
                <w:bCs/>
                <w:color w:val="000000"/>
                <w:szCs w:val="22"/>
              </w:rPr>
            </w:pPr>
          </w:p>
        </w:tc>
        <w:tc>
          <w:tcPr>
            <w:tcW w:w="992" w:type="dxa"/>
            <w:tcBorders>
              <w:top w:val="single" w:sz="12" w:space="0" w:color="auto"/>
              <w:left w:val="nil"/>
              <w:bottom w:val="single" w:sz="12" w:space="0" w:color="auto"/>
              <w:right w:val="nil"/>
            </w:tcBorders>
            <w:shd w:val="clear" w:color="auto" w:fill="auto"/>
            <w:noWrap/>
            <w:vAlign w:val="center"/>
          </w:tcPr>
          <w:p w14:paraId="53E00AB8"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144.989</w:t>
            </w:r>
          </w:p>
        </w:tc>
        <w:tc>
          <w:tcPr>
            <w:tcW w:w="284" w:type="dxa"/>
            <w:tcBorders>
              <w:top w:val="nil"/>
              <w:left w:val="nil"/>
              <w:bottom w:val="nil"/>
              <w:right w:val="nil"/>
            </w:tcBorders>
            <w:shd w:val="clear" w:color="auto" w:fill="auto"/>
            <w:noWrap/>
            <w:vAlign w:val="center"/>
          </w:tcPr>
          <w:p w14:paraId="55081919" w14:textId="77777777" w:rsidR="00E818F7" w:rsidRPr="001116C5" w:rsidRDefault="00E818F7" w:rsidP="0086616B">
            <w:pPr>
              <w:jc w:val="right"/>
              <w:rPr>
                <w:rFonts w:asciiTheme="minorHAnsi" w:hAnsiTheme="minorHAnsi" w:cstheme="minorHAnsi"/>
                <w:b/>
                <w:bCs/>
                <w:color w:val="000000"/>
                <w:szCs w:val="22"/>
              </w:rPr>
            </w:pPr>
          </w:p>
        </w:tc>
        <w:tc>
          <w:tcPr>
            <w:tcW w:w="850" w:type="dxa"/>
            <w:tcBorders>
              <w:top w:val="single" w:sz="12" w:space="0" w:color="auto"/>
              <w:left w:val="nil"/>
              <w:bottom w:val="single" w:sz="12" w:space="0" w:color="auto"/>
              <w:right w:val="nil"/>
            </w:tcBorders>
            <w:shd w:val="clear" w:color="auto" w:fill="auto"/>
            <w:noWrap/>
            <w:vAlign w:val="center"/>
          </w:tcPr>
          <w:p w14:paraId="32B7AF45"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258,5</w:t>
            </w:r>
          </w:p>
        </w:tc>
      </w:tr>
      <w:tr w:rsidR="00E818F7" w:rsidRPr="001116C5" w14:paraId="5553ED74" w14:textId="77777777" w:rsidTr="0086616B">
        <w:trPr>
          <w:trHeight w:val="340"/>
        </w:trPr>
        <w:tc>
          <w:tcPr>
            <w:tcW w:w="2977" w:type="dxa"/>
            <w:tcBorders>
              <w:top w:val="nil"/>
              <w:left w:val="nil"/>
              <w:bottom w:val="nil"/>
              <w:right w:val="nil"/>
            </w:tcBorders>
            <w:shd w:val="clear" w:color="auto" w:fill="auto"/>
            <w:vAlign w:val="center"/>
            <w:hideMark/>
          </w:tcPr>
          <w:p w14:paraId="637AC933" w14:textId="77777777" w:rsidR="00E818F7" w:rsidRPr="001116C5" w:rsidRDefault="00E818F7" w:rsidP="0086616B">
            <w:pPr>
              <w:rPr>
                <w:rFonts w:asciiTheme="minorHAnsi" w:hAnsiTheme="minorHAnsi" w:cstheme="minorHAnsi"/>
                <w:color w:val="000000"/>
                <w:szCs w:val="22"/>
                <w:lang w:val="pt-PT"/>
              </w:rPr>
            </w:pPr>
            <w:r w:rsidRPr="001116C5">
              <w:rPr>
                <w:rFonts w:asciiTheme="minorHAnsi" w:hAnsiTheme="minorHAnsi" w:cstheme="minorHAnsi"/>
                <w:color w:val="000000"/>
                <w:szCs w:val="22"/>
                <w:lang w:val="pt-PT"/>
              </w:rPr>
              <w:t>Usluge telefona, pošte i prijevoza</w:t>
            </w:r>
          </w:p>
        </w:tc>
        <w:tc>
          <w:tcPr>
            <w:tcW w:w="1134" w:type="dxa"/>
            <w:tcBorders>
              <w:top w:val="nil"/>
              <w:left w:val="nil"/>
              <w:bottom w:val="nil"/>
              <w:right w:val="nil"/>
            </w:tcBorders>
            <w:shd w:val="clear" w:color="auto" w:fill="auto"/>
            <w:noWrap/>
            <w:vAlign w:val="center"/>
            <w:hideMark/>
          </w:tcPr>
          <w:p w14:paraId="7885A4DB"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088</w:t>
            </w:r>
          </w:p>
        </w:tc>
        <w:tc>
          <w:tcPr>
            <w:tcW w:w="284" w:type="dxa"/>
            <w:tcBorders>
              <w:top w:val="nil"/>
              <w:left w:val="nil"/>
              <w:bottom w:val="nil"/>
              <w:right w:val="nil"/>
            </w:tcBorders>
            <w:shd w:val="clear" w:color="auto" w:fill="auto"/>
            <w:noWrap/>
            <w:vAlign w:val="center"/>
            <w:hideMark/>
          </w:tcPr>
          <w:p w14:paraId="3A126503"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6EB9FCE1"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5.836</w:t>
            </w:r>
          </w:p>
        </w:tc>
        <w:tc>
          <w:tcPr>
            <w:tcW w:w="283" w:type="dxa"/>
            <w:tcBorders>
              <w:top w:val="nil"/>
              <w:left w:val="nil"/>
              <w:bottom w:val="nil"/>
              <w:right w:val="nil"/>
            </w:tcBorders>
            <w:shd w:val="clear" w:color="auto" w:fill="auto"/>
            <w:noWrap/>
            <w:vAlign w:val="center"/>
          </w:tcPr>
          <w:p w14:paraId="702726F1"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290DD84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8.075</w:t>
            </w:r>
          </w:p>
        </w:tc>
        <w:tc>
          <w:tcPr>
            <w:tcW w:w="284" w:type="dxa"/>
            <w:tcBorders>
              <w:top w:val="nil"/>
              <w:left w:val="nil"/>
              <w:bottom w:val="nil"/>
              <w:right w:val="nil"/>
            </w:tcBorders>
            <w:shd w:val="clear" w:color="auto" w:fill="auto"/>
            <w:noWrap/>
            <w:vAlign w:val="center"/>
          </w:tcPr>
          <w:p w14:paraId="132EBE7D"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034E78B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2.239</w:t>
            </w:r>
          </w:p>
        </w:tc>
        <w:tc>
          <w:tcPr>
            <w:tcW w:w="284" w:type="dxa"/>
            <w:tcBorders>
              <w:top w:val="nil"/>
              <w:left w:val="nil"/>
              <w:bottom w:val="nil"/>
              <w:right w:val="nil"/>
            </w:tcBorders>
            <w:shd w:val="clear" w:color="auto" w:fill="auto"/>
            <w:noWrap/>
            <w:vAlign w:val="center"/>
          </w:tcPr>
          <w:p w14:paraId="7479938A"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771E0287"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138,4</w:t>
            </w:r>
          </w:p>
        </w:tc>
      </w:tr>
      <w:tr w:rsidR="00E818F7" w:rsidRPr="001116C5" w14:paraId="5D7B5277" w14:textId="77777777" w:rsidTr="0086616B">
        <w:trPr>
          <w:trHeight w:val="340"/>
        </w:trPr>
        <w:tc>
          <w:tcPr>
            <w:tcW w:w="2977" w:type="dxa"/>
            <w:tcBorders>
              <w:top w:val="nil"/>
              <w:left w:val="nil"/>
              <w:bottom w:val="nil"/>
              <w:right w:val="nil"/>
            </w:tcBorders>
            <w:shd w:val="clear" w:color="auto" w:fill="auto"/>
            <w:vAlign w:val="center"/>
            <w:hideMark/>
          </w:tcPr>
          <w:p w14:paraId="0FC95116" w14:textId="77777777" w:rsidR="00E818F7" w:rsidRPr="001116C5" w:rsidRDefault="00E818F7" w:rsidP="0086616B">
            <w:pPr>
              <w:rPr>
                <w:rFonts w:asciiTheme="minorHAnsi" w:hAnsiTheme="minorHAnsi" w:cstheme="minorHAnsi"/>
                <w:color w:val="000000"/>
                <w:szCs w:val="22"/>
                <w:lang w:val="pt-PT"/>
              </w:rPr>
            </w:pPr>
            <w:r w:rsidRPr="001116C5">
              <w:rPr>
                <w:rFonts w:asciiTheme="minorHAnsi" w:hAnsiTheme="minorHAnsi" w:cstheme="minorHAnsi"/>
                <w:color w:val="000000"/>
                <w:szCs w:val="22"/>
                <w:lang w:val="pt-PT"/>
              </w:rPr>
              <w:t>Usluge tekućeg i investicijskog održavanja</w:t>
            </w:r>
          </w:p>
        </w:tc>
        <w:tc>
          <w:tcPr>
            <w:tcW w:w="1134" w:type="dxa"/>
            <w:tcBorders>
              <w:top w:val="nil"/>
              <w:left w:val="nil"/>
              <w:bottom w:val="nil"/>
              <w:right w:val="nil"/>
            </w:tcBorders>
            <w:shd w:val="clear" w:color="auto" w:fill="auto"/>
            <w:noWrap/>
            <w:vAlign w:val="center"/>
            <w:hideMark/>
          </w:tcPr>
          <w:p w14:paraId="39387995"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089</w:t>
            </w:r>
          </w:p>
        </w:tc>
        <w:tc>
          <w:tcPr>
            <w:tcW w:w="284" w:type="dxa"/>
            <w:tcBorders>
              <w:top w:val="nil"/>
              <w:left w:val="nil"/>
              <w:bottom w:val="nil"/>
              <w:right w:val="nil"/>
            </w:tcBorders>
            <w:shd w:val="clear" w:color="auto" w:fill="auto"/>
            <w:noWrap/>
            <w:vAlign w:val="center"/>
            <w:hideMark/>
          </w:tcPr>
          <w:p w14:paraId="469D12A2"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12E0B1F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8.654</w:t>
            </w:r>
          </w:p>
        </w:tc>
        <w:tc>
          <w:tcPr>
            <w:tcW w:w="283" w:type="dxa"/>
            <w:tcBorders>
              <w:top w:val="nil"/>
              <w:left w:val="nil"/>
              <w:bottom w:val="nil"/>
              <w:right w:val="nil"/>
            </w:tcBorders>
            <w:shd w:val="clear" w:color="auto" w:fill="auto"/>
            <w:noWrap/>
            <w:vAlign w:val="center"/>
          </w:tcPr>
          <w:p w14:paraId="5117ED6D" w14:textId="77777777" w:rsidR="00E818F7" w:rsidRPr="001116C5" w:rsidRDefault="00E818F7" w:rsidP="0086616B">
            <w:pPr>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1DFC5E3E"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9.539</w:t>
            </w:r>
          </w:p>
        </w:tc>
        <w:tc>
          <w:tcPr>
            <w:tcW w:w="284" w:type="dxa"/>
            <w:tcBorders>
              <w:top w:val="nil"/>
              <w:left w:val="nil"/>
              <w:bottom w:val="nil"/>
              <w:right w:val="nil"/>
            </w:tcBorders>
            <w:shd w:val="clear" w:color="auto" w:fill="auto"/>
            <w:noWrap/>
            <w:vAlign w:val="center"/>
          </w:tcPr>
          <w:p w14:paraId="75B83CB9" w14:textId="77777777" w:rsidR="00E818F7" w:rsidRPr="001116C5" w:rsidRDefault="00E818F7" w:rsidP="0086616B">
            <w:pPr>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37FE7AFF"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885</w:t>
            </w:r>
          </w:p>
        </w:tc>
        <w:tc>
          <w:tcPr>
            <w:tcW w:w="284" w:type="dxa"/>
            <w:tcBorders>
              <w:top w:val="nil"/>
              <w:left w:val="nil"/>
              <w:bottom w:val="nil"/>
              <w:right w:val="nil"/>
            </w:tcBorders>
            <w:shd w:val="clear" w:color="auto" w:fill="auto"/>
            <w:noWrap/>
            <w:vAlign w:val="center"/>
          </w:tcPr>
          <w:p w14:paraId="38C150CB"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6B45528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110,2</w:t>
            </w:r>
          </w:p>
        </w:tc>
      </w:tr>
      <w:tr w:rsidR="00E818F7" w:rsidRPr="001116C5" w14:paraId="54644476" w14:textId="77777777" w:rsidTr="0086616B">
        <w:trPr>
          <w:trHeight w:val="340"/>
        </w:trPr>
        <w:tc>
          <w:tcPr>
            <w:tcW w:w="2977" w:type="dxa"/>
            <w:tcBorders>
              <w:top w:val="nil"/>
              <w:left w:val="nil"/>
              <w:bottom w:val="nil"/>
              <w:right w:val="nil"/>
            </w:tcBorders>
            <w:shd w:val="clear" w:color="auto" w:fill="auto"/>
            <w:vAlign w:val="center"/>
            <w:hideMark/>
          </w:tcPr>
          <w:p w14:paraId="5F178834"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Usluge promidžbe i informiranja</w:t>
            </w:r>
          </w:p>
        </w:tc>
        <w:tc>
          <w:tcPr>
            <w:tcW w:w="1134" w:type="dxa"/>
            <w:tcBorders>
              <w:top w:val="nil"/>
              <w:left w:val="nil"/>
              <w:bottom w:val="nil"/>
              <w:right w:val="nil"/>
            </w:tcBorders>
            <w:shd w:val="clear" w:color="auto" w:fill="auto"/>
            <w:noWrap/>
            <w:vAlign w:val="center"/>
            <w:hideMark/>
          </w:tcPr>
          <w:p w14:paraId="24D11F17"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090</w:t>
            </w:r>
          </w:p>
        </w:tc>
        <w:tc>
          <w:tcPr>
            <w:tcW w:w="284" w:type="dxa"/>
            <w:tcBorders>
              <w:top w:val="nil"/>
              <w:left w:val="nil"/>
              <w:bottom w:val="nil"/>
              <w:right w:val="nil"/>
            </w:tcBorders>
            <w:shd w:val="clear" w:color="auto" w:fill="auto"/>
            <w:noWrap/>
            <w:vAlign w:val="center"/>
            <w:hideMark/>
          </w:tcPr>
          <w:p w14:paraId="05A273ED"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4445F1E9"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19.385</w:t>
            </w:r>
          </w:p>
        </w:tc>
        <w:tc>
          <w:tcPr>
            <w:tcW w:w="283" w:type="dxa"/>
            <w:tcBorders>
              <w:top w:val="nil"/>
              <w:left w:val="nil"/>
              <w:bottom w:val="nil"/>
              <w:right w:val="nil"/>
            </w:tcBorders>
            <w:shd w:val="clear" w:color="auto" w:fill="auto"/>
            <w:noWrap/>
            <w:vAlign w:val="center"/>
          </w:tcPr>
          <w:p w14:paraId="4A5E54EE" w14:textId="77777777" w:rsidR="00E818F7" w:rsidRPr="001116C5" w:rsidRDefault="00E818F7" w:rsidP="0086616B">
            <w:pPr>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1FED0DC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68.084</w:t>
            </w:r>
          </w:p>
        </w:tc>
        <w:tc>
          <w:tcPr>
            <w:tcW w:w="284" w:type="dxa"/>
            <w:tcBorders>
              <w:top w:val="nil"/>
              <w:left w:val="nil"/>
              <w:bottom w:val="nil"/>
              <w:right w:val="nil"/>
            </w:tcBorders>
            <w:shd w:val="clear" w:color="auto" w:fill="auto"/>
            <w:noWrap/>
            <w:vAlign w:val="center"/>
          </w:tcPr>
          <w:p w14:paraId="64361A34" w14:textId="77777777" w:rsidR="00E818F7" w:rsidRPr="001116C5" w:rsidRDefault="00E818F7" w:rsidP="0086616B">
            <w:pPr>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0A981C5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48.699</w:t>
            </w:r>
          </w:p>
        </w:tc>
        <w:tc>
          <w:tcPr>
            <w:tcW w:w="284" w:type="dxa"/>
            <w:tcBorders>
              <w:top w:val="nil"/>
              <w:left w:val="nil"/>
              <w:bottom w:val="nil"/>
              <w:right w:val="nil"/>
            </w:tcBorders>
            <w:shd w:val="clear" w:color="auto" w:fill="auto"/>
            <w:noWrap/>
            <w:vAlign w:val="center"/>
          </w:tcPr>
          <w:p w14:paraId="08846BE9"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5B2C7A7F"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351,2</w:t>
            </w:r>
          </w:p>
        </w:tc>
      </w:tr>
      <w:tr w:rsidR="00E818F7" w:rsidRPr="001116C5" w14:paraId="5DF37F72" w14:textId="77777777" w:rsidTr="0086616B">
        <w:trPr>
          <w:trHeight w:val="340"/>
        </w:trPr>
        <w:tc>
          <w:tcPr>
            <w:tcW w:w="2977" w:type="dxa"/>
            <w:tcBorders>
              <w:top w:val="nil"/>
              <w:left w:val="nil"/>
              <w:bottom w:val="nil"/>
              <w:right w:val="nil"/>
            </w:tcBorders>
            <w:shd w:val="clear" w:color="auto" w:fill="auto"/>
            <w:vAlign w:val="center"/>
            <w:hideMark/>
          </w:tcPr>
          <w:p w14:paraId="25A3330B"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Komunalne usluge</w:t>
            </w:r>
          </w:p>
        </w:tc>
        <w:tc>
          <w:tcPr>
            <w:tcW w:w="1134" w:type="dxa"/>
            <w:tcBorders>
              <w:top w:val="nil"/>
              <w:left w:val="nil"/>
              <w:bottom w:val="nil"/>
              <w:right w:val="nil"/>
            </w:tcBorders>
            <w:shd w:val="clear" w:color="auto" w:fill="auto"/>
            <w:noWrap/>
            <w:vAlign w:val="center"/>
            <w:hideMark/>
          </w:tcPr>
          <w:p w14:paraId="00E9EE1D"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091</w:t>
            </w:r>
          </w:p>
        </w:tc>
        <w:tc>
          <w:tcPr>
            <w:tcW w:w="284" w:type="dxa"/>
            <w:tcBorders>
              <w:top w:val="nil"/>
              <w:left w:val="nil"/>
              <w:bottom w:val="nil"/>
              <w:right w:val="nil"/>
            </w:tcBorders>
            <w:shd w:val="clear" w:color="auto" w:fill="auto"/>
            <w:noWrap/>
            <w:vAlign w:val="center"/>
            <w:hideMark/>
          </w:tcPr>
          <w:p w14:paraId="29607C18"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758568F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1.011</w:t>
            </w:r>
          </w:p>
        </w:tc>
        <w:tc>
          <w:tcPr>
            <w:tcW w:w="283" w:type="dxa"/>
            <w:tcBorders>
              <w:top w:val="nil"/>
              <w:left w:val="nil"/>
              <w:bottom w:val="nil"/>
              <w:right w:val="nil"/>
            </w:tcBorders>
            <w:shd w:val="clear" w:color="auto" w:fill="auto"/>
            <w:noWrap/>
            <w:vAlign w:val="center"/>
          </w:tcPr>
          <w:p w14:paraId="1A19365F"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544799D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1.022</w:t>
            </w:r>
          </w:p>
        </w:tc>
        <w:tc>
          <w:tcPr>
            <w:tcW w:w="284" w:type="dxa"/>
            <w:tcBorders>
              <w:top w:val="nil"/>
              <w:left w:val="nil"/>
              <w:bottom w:val="nil"/>
              <w:right w:val="nil"/>
            </w:tcBorders>
            <w:shd w:val="clear" w:color="auto" w:fill="auto"/>
            <w:noWrap/>
            <w:vAlign w:val="center"/>
          </w:tcPr>
          <w:p w14:paraId="59E52026"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460F2C3E"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11</w:t>
            </w:r>
          </w:p>
        </w:tc>
        <w:tc>
          <w:tcPr>
            <w:tcW w:w="284" w:type="dxa"/>
            <w:tcBorders>
              <w:top w:val="nil"/>
              <w:left w:val="nil"/>
              <w:bottom w:val="nil"/>
              <w:right w:val="nil"/>
            </w:tcBorders>
            <w:shd w:val="clear" w:color="auto" w:fill="auto"/>
            <w:noWrap/>
            <w:vAlign w:val="center"/>
          </w:tcPr>
          <w:p w14:paraId="4F212994"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4644F18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101,1</w:t>
            </w:r>
          </w:p>
        </w:tc>
      </w:tr>
      <w:tr w:rsidR="00E818F7" w:rsidRPr="001116C5" w14:paraId="31DD6654" w14:textId="77777777" w:rsidTr="0086616B">
        <w:trPr>
          <w:trHeight w:val="340"/>
        </w:trPr>
        <w:tc>
          <w:tcPr>
            <w:tcW w:w="2977" w:type="dxa"/>
            <w:tcBorders>
              <w:top w:val="nil"/>
              <w:left w:val="nil"/>
              <w:bottom w:val="nil"/>
              <w:right w:val="nil"/>
            </w:tcBorders>
            <w:shd w:val="clear" w:color="auto" w:fill="auto"/>
            <w:vAlign w:val="center"/>
            <w:hideMark/>
          </w:tcPr>
          <w:p w14:paraId="616D0E5B"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Zakupnine i najamnine</w:t>
            </w:r>
          </w:p>
        </w:tc>
        <w:tc>
          <w:tcPr>
            <w:tcW w:w="1134" w:type="dxa"/>
            <w:tcBorders>
              <w:top w:val="nil"/>
              <w:left w:val="nil"/>
              <w:bottom w:val="nil"/>
              <w:right w:val="nil"/>
            </w:tcBorders>
            <w:shd w:val="clear" w:color="auto" w:fill="auto"/>
            <w:noWrap/>
            <w:vAlign w:val="center"/>
            <w:hideMark/>
          </w:tcPr>
          <w:p w14:paraId="2FCCA003"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092</w:t>
            </w:r>
          </w:p>
        </w:tc>
        <w:tc>
          <w:tcPr>
            <w:tcW w:w="284" w:type="dxa"/>
            <w:tcBorders>
              <w:top w:val="nil"/>
              <w:left w:val="nil"/>
              <w:bottom w:val="nil"/>
              <w:right w:val="nil"/>
            </w:tcBorders>
            <w:shd w:val="clear" w:color="auto" w:fill="auto"/>
            <w:noWrap/>
            <w:vAlign w:val="center"/>
            <w:hideMark/>
          </w:tcPr>
          <w:p w14:paraId="58235C98"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5FA4145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2.548</w:t>
            </w:r>
          </w:p>
        </w:tc>
        <w:tc>
          <w:tcPr>
            <w:tcW w:w="283" w:type="dxa"/>
            <w:tcBorders>
              <w:top w:val="nil"/>
              <w:left w:val="nil"/>
              <w:bottom w:val="nil"/>
              <w:right w:val="nil"/>
            </w:tcBorders>
            <w:shd w:val="clear" w:color="auto" w:fill="auto"/>
            <w:noWrap/>
            <w:vAlign w:val="center"/>
          </w:tcPr>
          <w:p w14:paraId="34AC9D94" w14:textId="77777777" w:rsidR="00E818F7" w:rsidRPr="001116C5" w:rsidRDefault="00E818F7" w:rsidP="0086616B">
            <w:pPr>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5D26000B"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15.600</w:t>
            </w:r>
          </w:p>
        </w:tc>
        <w:tc>
          <w:tcPr>
            <w:tcW w:w="284" w:type="dxa"/>
            <w:tcBorders>
              <w:top w:val="nil"/>
              <w:left w:val="nil"/>
              <w:bottom w:val="nil"/>
              <w:right w:val="nil"/>
            </w:tcBorders>
            <w:shd w:val="clear" w:color="auto" w:fill="auto"/>
            <w:noWrap/>
            <w:vAlign w:val="center"/>
          </w:tcPr>
          <w:p w14:paraId="15DC9890" w14:textId="77777777" w:rsidR="00E818F7" w:rsidRPr="001116C5" w:rsidRDefault="00E818F7" w:rsidP="0086616B">
            <w:pPr>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4AD59BBC"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13.052</w:t>
            </w:r>
          </w:p>
        </w:tc>
        <w:tc>
          <w:tcPr>
            <w:tcW w:w="284" w:type="dxa"/>
            <w:tcBorders>
              <w:top w:val="nil"/>
              <w:left w:val="nil"/>
              <w:bottom w:val="nil"/>
              <w:right w:val="nil"/>
            </w:tcBorders>
            <w:shd w:val="clear" w:color="auto" w:fill="auto"/>
            <w:noWrap/>
            <w:vAlign w:val="center"/>
          </w:tcPr>
          <w:p w14:paraId="7FC469D0"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2D1C4DB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612,2</w:t>
            </w:r>
          </w:p>
        </w:tc>
      </w:tr>
      <w:tr w:rsidR="00E818F7" w:rsidRPr="001116C5" w14:paraId="171887A6" w14:textId="77777777" w:rsidTr="0086616B">
        <w:trPr>
          <w:trHeight w:val="340"/>
        </w:trPr>
        <w:tc>
          <w:tcPr>
            <w:tcW w:w="2977" w:type="dxa"/>
            <w:tcBorders>
              <w:top w:val="nil"/>
              <w:left w:val="nil"/>
              <w:bottom w:val="nil"/>
              <w:right w:val="nil"/>
            </w:tcBorders>
            <w:shd w:val="clear" w:color="auto" w:fill="auto"/>
            <w:vAlign w:val="center"/>
            <w:hideMark/>
          </w:tcPr>
          <w:p w14:paraId="15AB74FE"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Zdravstvene i veterinarske usluge</w:t>
            </w:r>
          </w:p>
        </w:tc>
        <w:tc>
          <w:tcPr>
            <w:tcW w:w="1134" w:type="dxa"/>
            <w:tcBorders>
              <w:top w:val="nil"/>
              <w:left w:val="nil"/>
              <w:bottom w:val="nil"/>
              <w:right w:val="nil"/>
            </w:tcBorders>
            <w:shd w:val="clear" w:color="auto" w:fill="auto"/>
            <w:noWrap/>
            <w:vAlign w:val="center"/>
            <w:hideMark/>
          </w:tcPr>
          <w:p w14:paraId="6DB3EAE5"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093</w:t>
            </w:r>
          </w:p>
        </w:tc>
        <w:tc>
          <w:tcPr>
            <w:tcW w:w="284" w:type="dxa"/>
            <w:tcBorders>
              <w:top w:val="nil"/>
              <w:left w:val="nil"/>
              <w:bottom w:val="nil"/>
              <w:right w:val="nil"/>
            </w:tcBorders>
            <w:shd w:val="clear" w:color="auto" w:fill="auto"/>
            <w:noWrap/>
            <w:vAlign w:val="center"/>
            <w:hideMark/>
          </w:tcPr>
          <w:p w14:paraId="2A473CFE"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09FBA209"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1.818</w:t>
            </w:r>
          </w:p>
        </w:tc>
        <w:tc>
          <w:tcPr>
            <w:tcW w:w="283" w:type="dxa"/>
            <w:tcBorders>
              <w:top w:val="nil"/>
              <w:left w:val="nil"/>
              <w:bottom w:val="nil"/>
              <w:right w:val="nil"/>
            </w:tcBorders>
            <w:shd w:val="clear" w:color="auto" w:fill="auto"/>
            <w:noWrap/>
            <w:vAlign w:val="center"/>
          </w:tcPr>
          <w:p w14:paraId="1583EADF"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00D617F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c>
          <w:tcPr>
            <w:tcW w:w="284" w:type="dxa"/>
            <w:tcBorders>
              <w:top w:val="nil"/>
              <w:left w:val="nil"/>
              <w:bottom w:val="nil"/>
              <w:right w:val="nil"/>
            </w:tcBorders>
            <w:shd w:val="clear" w:color="auto" w:fill="auto"/>
            <w:noWrap/>
            <w:vAlign w:val="center"/>
          </w:tcPr>
          <w:p w14:paraId="30617BD4"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26D8307C"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(1.818)</w:t>
            </w:r>
          </w:p>
        </w:tc>
        <w:tc>
          <w:tcPr>
            <w:tcW w:w="284" w:type="dxa"/>
            <w:tcBorders>
              <w:top w:val="nil"/>
              <w:left w:val="nil"/>
              <w:bottom w:val="nil"/>
              <w:right w:val="nil"/>
            </w:tcBorders>
            <w:shd w:val="clear" w:color="auto" w:fill="auto"/>
            <w:noWrap/>
            <w:vAlign w:val="center"/>
          </w:tcPr>
          <w:p w14:paraId="4EC8DA6D"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0A7073D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r>
      <w:tr w:rsidR="00E818F7" w:rsidRPr="001116C5" w14:paraId="4DD01F17" w14:textId="77777777" w:rsidTr="0086616B">
        <w:trPr>
          <w:trHeight w:val="340"/>
        </w:trPr>
        <w:tc>
          <w:tcPr>
            <w:tcW w:w="2977" w:type="dxa"/>
            <w:tcBorders>
              <w:top w:val="nil"/>
              <w:left w:val="nil"/>
              <w:bottom w:val="nil"/>
              <w:right w:val="nil"/>
            </w:tcBorders>
            <w:shd w:val="clear" w:color="auto" w:fill="auto"/>
            <w:vAlign w:val="center"/>
            <w:hideMark/>
          </w:tcPr>
          <w:p w14:paraId="2318B9E8"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Intelektualne i osobne usluge</w:t>
            </w:r>
          </w:p>
        </w:tc>
        <w:tc>
          <w:tcPr>
            <w:tcW w:w="1134" w:type="dxa"/>
            <w:tcBorders>
              <w:top w:val="nil"/>
              <w:left w:val="nil"/>
              <w:bottom w:val="nil"/>
              <w:right w:val="nil"/>
            </w:tcBorders>
            <w:shd w:val="clear" w:color="auto" w:fill="auto"/>
            <w:noWrap/>
            <w:vAlign w:val="center"/>
            <w:hideMark/>
          </w:tcPr>
          <w:p w14:paraId="06A0C184"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094</w:t>
            </w:r>
          </w:p>
        </w:tc>
        <w:tc>
          <w:tcPr>
            <w:tcW w:w="284" w:type="dxa"/>
            <w:tcBorders>
              <w:top w:val="nil"/>
              <w:left w:val="nil"/>
              <w:bottom w:val="nil"/>
              <w:right w:val="nil"/>
            </w:tcBorders>
            <w:shd w:val="clear" w:color="auto" w:fill="auto"/>
            <w:noWrap/>
            <w:vAlign w:val="center"/>
            <w:hideMark/>
          </w:tcPr>
          <w:p w14:paraId="602C9C53"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2A75FEE9"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114.403</w:t>
            </w:r>
          </w:p>
        </w:tc>
        <w:tc>
          <w:tcPr>
            <w:tcW w:w="283" w:type="dxa"/>
            <w:tcBorders>
              <w:top w:val="nil"/>
              <w:left w:val="nil"/>
              <w:bottom w:val="nil"/>
              <w:right w:val="nil"/>
            </w:tcBorders>
            <w:shd w:val="clear" w:color="auto" w:fill="auto"/>
            <w:noWrap/>
            <w:vAlign w:val="center"/>
          </w:tcPr>
          <w:p w14:paraId="0BC0F38F" w14:textId="77777777" w:rsidR="00E818F7" w:rsidRPr="001116C5" w:rsidRDefault="00E818F7" w:rsidP="0086616B">
            <w:pPr>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044C704C"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309.194</w:t>
            </w:r>
          </w:p>
        </w:tc>
        <w:tc>
          <w:tcPr>
            <w:tcW w:w="284" w:type="dxa"/>
            <w:tcBorders>
              <w:top w:val="nil"/>
              <w:left w:val="nil"/>
              <w:bottom w:val="nil"/>
              <w:right w:val="nil"/>
            </w:tcBorders>
            <w:shd w:val="clear" w:color="auto" w:fill="auto"/>
            <w:noWrap/>
            <w:vAlign w:val="center"/>
          </w:tcPr>
          <w:p w14:paraId="037CC1B2" w14:textId="77777777" w:rsidR="00E818F7" w:rsidRPr="001116C5" w:rsidRDefault="00E818F7" w:rsidP="0086616B">
            <w:pPr>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641F71F9"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194.791</w:t>
            </w:r>
          </w:p>
        </w:tc>
        <w:tc>
          <w:tcPr>
            <w:tcW w:w="284" w:type="dxa"/>
            <w:tcBorders>
              <w:top w:val="nil"/>
              <w:left w:val="nil"/>
              <w:bottom w:val="nil"/>
              <w:right w:val="nil"/>
            </w:tcBorders>
            <w:shd w:val="clear" w:color="auto" w:fill="auto"/>
            <w:noWrap/>
            <w:vAlign w:val="center"/>
          </w:tcPr>
          <w:p w14:paraId="25645305"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14D1C06F"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270,3</w:t>
            </w:r>
          </w:p>
        </w:tc>
      </w:tr>
      <w:tr w:rsidR="00E818F7" w:rsidRPr="001116C5" w14:paraId="117855A3" w14:textId="77777777" w:rsidTr="0086616B">
        <w:trPr>
          <w:trHeight w:val="340"/>
        </w:trPr>
        <w:tc>
          <w:tcPr>
            <w:tcW w:w="2977" w:type="dxa"/>
            <w:tcBorders>
              <w:top w:val="nil"/>
              <w:left w:val="nil"/>
              <w:bottom w:val="nil"/>
              <w:right w:val="nil"/>
            </w:tcBorders>
            <w:shd w:val="clear" w:color="auto" w:fill="auto"/>
            <w:vAlign w:val="center"/>
            <w:hideMark/>
          </w:tcPr>
          <w:p w14:paraId="44459B1C"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Računalne usluge</w:t>
            </w:r>
          </w:p>
        </w:tc>
        <w:tc>
          <w:tcPr>
            <w:tcW w:w="1134" w:type="dxa"/>
            <w:tcBorders>
              <w:top w:val="nil"/>
              <w:left w:val="nil"/>
              <w:bottom w:val="nil"/>
              <w:right w:val="nil"/>
            </w:tcBorders>
            <w:shd w:val="clear" w:color="auto" w:fill="auto"/>
            <w:noWrap/>
            <w:vAlign w:val="center"/>
            <w:hideMark/>
          </w:tcPr>
          <w:p w14:paraId="3D5C4E46"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095</w:t>
            </w:r>
          </w:p>
        </w:tc>
        <w:tc>
          <w:tcPr>
            <w:tcW w:w="284" w:type="dxa"/>
            <w:tcBorders>
              <w:top w:val="nil"/>
              <w:left w:val="nil"/>
              <w:bottom w:val="nil"/>
              <w:right w:val="nil"/>
            </w:tcBorders>
            <w:shd w:val="clear" w:color="auto" w:fill="auto"/>
            <w:noWrap/>
            <w:vAlign w:val="center"/>
            <w:hideMark/>
          </w:tcPr>
          <w:p w14:paraId="1933A9C0"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6E03E7D0"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2.288</w:t>
            </w:r>
          </w:p>
        </w:tc>
        <w:tc>
          <w:tcPr>
            <w:tcW w:w="283" w:type="dxa"/>
            <w:tcBorders>
              <w:top w:val="nil"/>
              <w:left w:val="nil"/>
              <w:bottom w:val="nil"/>
              <w:right w:val="nil"/>
            </w:tcBorders>
            <w:shd w:val="clear" w:color="auto" w:fill="auto"/>
            <w:noWrap/>
            <w:vAlign w:val="center"/>
          </w:tcPr>
          <w:p w14:paraId="26E11831" w14:textId="77777777" w:rsidR="00E818F7" w:rsidRPr="001116C5" w:rsidRDefault="00E818F7" w:rsidP="0086616B">
            <w:pPr>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2469CC9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8.339</w:t>
            </w:r>
          </w:p>
        </w:tc>
        <w:tc>
          <w:tcPr>
            <w:tcW w:w="284" w:type="dxa"/>
            <w:tcBorders>
              <w:top w:val="nil"/>
              <w:left w:val="nil"/>
              <w:bottom w:val="nil"/>
              <w:right w:val="nil"/>
            </w:tcBorders>
            <w:shd w:val="clear" w:color="auto" w:fill="auto"/>
            <w:noWrap/>
            <w:vAlign w:val="center"/>
          </w:tcPr>
          <w:p w14:paraId="09D9BC6F" w14:textId="77777777" w:rsidR="00E818F7" w:rsidRPr="001116C5" w:rsidRDefault="00E818F7" w:rsidP="0086616B">
            <w:pPr>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011E9511"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6.051</w:t>
            </w:r>
          </w:p>
        </w:tc>
        <w:tc>
          <w:tcPr>
            <w:tcW w:w="284" w:type="dxa"/>
            <w:tcBorders>
              <w:top w:val="nil"/>
              <w:left w:val="nil"/>
              <w:bottom w:val="nil"/>
              <w:right w:val="nil"/>
            </w:tcBorders>
            <w:shd w:val="clear" w:color="auto" w:fill="auto"/>
            <w:noWrap/>
            <w:vAlign w:val="center"/>
          </w:tcPr>
          <w:p w14:paraId="0D495D22"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52869E6B"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364,5</w:t>
            </w:r>
          </w:p>
        </w:tc>
      </w:tr>
      <w:tr w:rsidR="00E818F7" w:rsidRPr="001116C5" w14:paraId="4FB71726" w14:textId="77777777" w:rsidTr="0086616B">
        <w:trPr>
          <w:trHeight w:val="340"/>
        </w:trPr>
        <w:tc>
          <w:tcPr>
            <w:tcW w:w="2977" w:type="dxa"/>
            <w:tcBorders>
              <w:top w:val="nil"/>
              <w:left w:val="nil"/>
              <w:bottom w:val="nil"/>
              <w:right w:val="nil"/>
            </w:tcBorders>
            <w:shd w:val="clear" w:color="auto" w:fill="auto"/>
            <w:vAlign w:val="center"/>
            <w:hideMark/>
          </w:tcPr>
          <w:p w14:paraId="507A1971"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Ostale usluge</w:t>
            </w:r>
          </w:p>
        </w:tc>
        <w:tc>
          <w:tcPr>
            <w:tcW w:w="1134" w:type="dxa"/>
            <w:tcBorders>
              <w:top w:val="nil"/>
              <w:left w:val="nil"/>
              <w:bottom w:val="nil"/>
              <w:right w:val="nil"/>
            </w:tcBorders>
            <w:shd w:val="clear" w:color="auto" w:fill="auto"/>
            <w:noWrap/>
            <w:vAlign w:val="center"/>
            <w:hideMark/>
          </w:tcPr>
          <w:p w14:paraId="772EEBF9"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096</w:t>
            </w:r>
          </w:p>
        </w:tc>
        <w:tc>
          <w:tcPr>
            <w:tcW w:w="284" w:type="dxa"/>
            <w:tcBorders>
              <w:top w:val="nil"/>
              <w:left w:val="nil"/>
              <w:bottom w:val="nil"/>
              <w:right w:val="nil"/>
            </w:tcBorders>
            <w:shd w:val="clear" w:color="auto" w:fill="auto"/>
            <w:noWrap/>
            <w:vAlign w:val="center"/>
            <w:hideMark/>
          </w:tcPr>
          <w:p w14:paraId="5E1FAD2F"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single" w:sz="12" w:space="0" w:color="auto"/>
              <w:right w:val="nil"/>
            </w:tcBorders>
            <w:shd w:val="clear" w:color="auto" w:fill="auto"/>
            <w:noWrap/>
            <w:vAlign w:val="center"/>
          </w:tcPr>
          <w:p w14:paraId="0043DC7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15.720</w:t>
            </w:r>
          </w:p>
        </w:tc>
        <w:tc>
          <w:tcPr>
            <w:tcW w:w="283" w:type="dxa"/>
            <w:tcBorders>
              <w:top w:val="nil"/>
              <w:left w:val="nil"/>
              <w:bottom w:val="nil"/>
              <w:right w:val="nil"/>
            </w:tcBorders>
            <w:shd w:val="clear" w:color="auto" w:fill="auto"/>
            <w:noWrap/>
            <w:vAlign w:val="center"/>
          </w:tcPr>
          <w:p w14:paraId="466E56EA" w14:textId="77777777" w:rsidR="00E818F7" w:rsidRPr="001116C5" w:rsidRDefault="00E818F7" w:rsidP="0086616B">
            <w:pPr>
              <w:rPr>
                <w:rFonts w:asciiTheme="minorHAnsi" w:hAnsiTheme="minorHAnsi" w:cstheme="minorHAnsi"/>
                <w:color w:val="000000"/>
                <w:szCs w:val="22"/>
              </w:rPr>
            </w:pPr>
          </w:p>
        </w:tc>
        <w:tc>
          <w:tcPr>
            <w:tcW w:w="1020" w:type="dxa"/>
            <w:tcBorders>
              <w:top w:val="nil"/>
              <w:left w:val="nil"/>
              <w:bottom w:val="single" w:sz="12" w:space="0" w:color="auto"/>
              <w:right w:val="nil"/>
            </w:tcBorders>
            <w:shd w:val="clear" w:color="auto" w:fill="auto"/>
            <w:noWrap/>
            <w:vAlign w:val="center"/>
          </w:tcPr>
          <w:p w14:paraId="12092EFF"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38.190</w:t>
            </w:r>
          </w:p>
        </w:tc>
        <w:tc>
          <w:tcPr>
            <w:tcW w:w="284" w:type="dxa"/>
            <w:tcBorders>
              <w:top w:val="nil"/>
              <w:left w:val="nil"/>
              <w:bottom w:val="nil"/>
              <w:right w:val="nil"/>
            </w:tcBorders>
            <w:shd w:val="clear" w:color="auto" w:fill="auto"/>
            <w:noWrap/>
            <w:vAlign w:val="center"/>
          </w:tcPr>
          <w:p w14:paraId="055CA24A" w14:textId="77777777" w:rsidR="00E818F7" w:rsidRPr="001116C5" w:rsidRDefault="00E818F7" w:rsidP="0086616B">
            <w:pPr>
              <w:rPr>
                <w:rFonts w:asciiTheme="minorHAnsi" w:hAnsiTheme="minorHAnsi" w:cstheme="minorHAnsi"/>
                <w:color w:val="000000"/>
                <w:szCs w:val="22"/>
              </w:rPr>
            </w:pPr>
          </w:p>
        </w:tc>
        <w:tc>
          <w:tcPr>
            <w:tcW w:w="992" w:type="dxa"/>
            <w:tcBorders>
              <w:top w:val="nil"/>
              <w:left w:val="nil"/>
              <w:bottom w:val="single" w:sz="12" w:space="0" w:color="auto"/>
              <w:right w:val="nil"/>
            </w:tcBorders>
            <w:shd w:val="clear" w:color="auto" w:fill="auto"/>
            <w:noWrap/>
            <w:vAlign w:val="center"/>
          </w:tcPr>
          <w:p w14:paraId="4DCAA675"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22.470</w:t>
            </w:r>
          </w:p>
        </w:tc>
        <w:tc>
          <w:tcPr>
            <w:tcW w:w="284" w:type="dxa"/>
            <w:tcBorders>
              <w:top w:val="nil"/>
              <w:left w:val="nil"/>
              <w:bottom w:val="nil"/>
              <w:right w:val="nil"/>
            </w:tcBorders>
            <w:shd w:val="clear" w:color="auto" w:fill="auto"/>
            <w:noWrap/>
            <w:vAlign w:val="center"/>
          </w:tcPr>
          <w:p w14:paraId="7260AB78"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single" w:sz="12" w:space="0" w:color="auto"/>
              <w:right w:val="nil"/>
            </w:tcBorders>
            <w:shd w:val="clear" w:color="auto" w:fill="auto"/>
            <w:noWrap/>
            <w:vAlign w:val="center"/>
          </w:tcPr>
          <w:p w14:paraId="019F1A0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242,9</w:t>
            </w:r>
          </w:p>
        </w:tc>
      </w:tr>
      <w:tr w:rsidR="00E818F7" w:rsidRPr="001116C5" w14:paraId="29EF2E05" w14:textId="77777777" w:rsidTr="0086616B">
        <w:trPr>
          <w:trHeight w:val="461"/>
        </w:trPr>
        <w:tc>
          <w:tcPr>
            <w:tcW w:w="2977" w:type="dxa"/>
            <w:tcBorders>
              <w:top w:val="nil"/>
              <w:left w:val="nil"/>
              <w:bottom w:val="nil"/>
              <w:right w:val="nil"/>
            </w:tcBorders>
            <w:shd w:val="clear" w:color="auto" w:fill="auto"/>
            <w:vAlign w:val="center"/>
            <w:hideMark/>
          </w:tcPr>
          <w:p w14:paraId="3DFFF003"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 rashodi za usluge</w:t>
            </w:r>
          </w:p>
        </w:tc>
        <w:tc>
          <w:tcPr>
            <w:tcW w:w="1134" w:type="dxa"/>
            <w:tcBorders>
              <w:top w:val="nil"/>
              <w:left w:val="nil"/>
              <w:bottom w:val="nil"/>
              <w:right w:val="nil"/>
            </w:tcBorders>
            <w:shd w:val="clear" w:color="auto" w:fill="auto"/>
            <w:noWrap/>
            <w:vAlign w:val="center"/>
            <w:hideMark/>
          </w:tcPr>
          <w:p w14:paraId="1EA774EA"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087</w:t>
            </w:r>
          </w:p>
        </w:tc>
        <w:tc>
          <w:tcPr>
            <w:tcW w:w="284" w:type="dxa"/>
            <w:tcBorders>
              <w:top w:val="nil"/>
              <w:left w:val="nil"/>
              <w:bottom w:val="nil"/>
              <w:right w:val="nil"/>
            </w:tcBorders>
            <w:shd w:val="clear" w:color="auto" w:fill="auto"/>
            <w:noWrap/>
            <w:vAlign w:val="center"/>
            <w:hideMark/>
          </w:tcPr>
          <w:p w14:paraId="193CF5F9" w14:textId="77777777" w:rsidR="00E818F7" w:rsidRPr="001116C5" w:rsidRDefault="00E818F7" w:rsidP="0086616B">
            <w:pPr>
              <w:jc w:val="center"/>
              <w:rPr>
                <w:rFonts w:asciiTheme="minorHAnsi" w:hAnsiTheme="minorHAnsi" w:cstheme="minorHAnsi"/>
                <w:b/>
                <w:bCs/>
                <w:color w:val="000000"/>
                <w:szCs w:val="22"/>
              </w:rPr>
            </w:pPr>
          </w:p>
        </w:tc>
        <w:tc>
          <w:tcPr>
            <w:tcW w:w="1106" w:type="dxa"/>
            <w:tcBorders>
              <w:top w:val="single" w:sz="12" w:space="0" w:color="auto"/>
              <w:left w:val="nil"/>
              <w:bottom w:val="single" w:sz="12" w:space="0" w:color="auto"/>
              <w:right w:val="nil"/>
            </w:tcBorders>
            <w:shd w:val="clear" w:color="auto" w:fill="auto"/>
            <w:noWrap/>
            <w:vAlign w:val="center"/>
          </w:tcPr>
          <w:p w14:paraId="52B51770"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171.663</w:t>
            </w:r>
          </w:p>
        </w:tc>
        <w:tc>
          <w:tcPr>
            <w:tcW w:w="283" w:type="dxa"/>
            <w:tcBorders>
              <w:top w:val="nil"/>
              <w:left w:val="nil"/>
              <w:bottom w:val="nil"/>
              <w:right w:val="nil"/>
            </w:tcBorders>
            <w:shd w:val="clear" w:color="auto" w:fill="auto"/>
            <w:noWrap/>
            <w:vAlign w:val="center"/>
          </w:tcPr>
          <w:p w14:paraId="0851168E" w14:textId="77777777" w:rsidR="00E818F7" w:rsidRPr="001116C5" w:rsidRDefault="00E818F7" w:rsidP="0086616B">
            <w:pPr>
              <w:jc w:val="right"/>
              <w:rPr>
                <w:rFonts w:asciiTheme="minorHAnsi" w:hAnsiTheme="minorHAnsi" w:cstheme="minorHAnsi"/>
                <w:b/>
                <w:bCs/>
                <w:color w:val="000000"/>
                <w:szCs w:val="22"/>
              </w:rPr>
            </w:pPr>
          </w:p>
        </w:tc>
        <w:tc>
          <w:tcPr>
            <w:tcW w:w="1020" w:type="dxa"/>
            <w:tcBorders>
              <w:top w:val="single" w:sz="12" w:space="0" w:color="auto"/>
              <w:left w:val="nil"/>
              <w:bottom w:val="single" w:sz="12" w:space="0" w:color="auto"/>
              <w:right w:val="nil"/>
            </w:tcBorders>
            <w:shd w:val="clear" w:color="auto" w:fill="auto"/>
            <w:noWrap/>
            <w:vAlign w:val="center"/>
          </w:tcPr>
          <w:p w14:paraId="29DB0A86"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458.043</w:t>
            </w:r>
          </w:p>
        </w:tc>
        <w:tc>
          <w:tcPr>
            <w:tcW w:w="284" w:type="dxa"/>
            <w:tcBorders>
              <w:top w:val="nil"/>
              <w:left w:val="nil"/>
              <w:bottom w:val="nil"/>
              <w:right w:val="nil"/>
            </w:tcBorders>
            <w:shd w:val="clear" w:color="auto" w:fill="auto"/>
            <w:noWrap/>
            <w:vAlign w:val="center"/>
          </w:tcPr>
          <w:p w14:paraId="532F6E5A" w14:textId="77777777" w:rsidR="00E818F7" w:rsidRPr="001116C5" w:rsidRDefault="00E818F7" w:rsidP="0086616B">
            <w:pPr>
              <w:jc w:val="right"/>
              <w:rPr>
                <w:rFonts w:asciiTheme="minorHAnsi" w:hAnsiTheme="minorHAnsi" w:cstheme="minorHAnsi"/>
                <w:b/>
                <w:bCs/>
                <w:color w:val="000000"/>
                <w:szCs w:val="22"/>
              </w:rPr>
            </w:pPr>
          </w:p>
        </w:tc>
        <w:tc>
          <w:tcPr>
            <w:tcW w:w="992" w:type="dxa"/>
            <w:tcBorders>
              <w:top w:val="single" w:sz="12" w:space="0" w:color="auto"/>
              <w:left w:val="nil"/>
              <w:bottom w:val="single" w:sz="12" w:space="0" w:color="auto"/>
              <w:right w:val="nil"/>
            </w:tcBorders>
            <w:shd w:val="clear" w:color="auto" w:fill="auto"/>
            <w:noWrap/>
            <w:vAlign w:val="center"/>
          </w:tcPr>
          <w:p w14:paraId="5DA94AF6"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286.380</w:t>
            </w:r>
          </w:p>
        </w:tc>
        <w:tc>
          <w:tcPr>
            <w:tcW w:w="284" w:type="dxa"/>
            <w:tcBorders>
              <w:top w:val="nil"/>
              <w:left w:val="nil"/>
              <w:bottom w:val="nil"/>
              <w:right w:val="nil"/>
            </w:tcBorders>
            <w:shd w:val="clear" w:color="auto" w:fill="auto"/>
            <w:noWrap/>
            <w:vAlign w:val="center"/>
          </w:tcPr>
          <w:p w14:paraId="42AD9828" w14:textId="77777777" w:rsidR="00E818F7" w:rsidRPr="001116C5" w:rsidRDefault="00E818F7" w:rsidP="0086616B">
            <w:pPr>
              <w:jc w:val="right"/>
              <w:rPr>
                <w:rFonts w:asciiTheme="minorHAnsi" w:hAnsiTheme="minorHAnsi" w:cstheme="minorHAnsi"/>
                <w:b/>
                <w:bCs/>
                <w:color w:val="000000"/>
                <w:szCs w:val="22"/>
              </w:rPr>
            </w:pPr>
          </w:p>
        </w:tc>
        <w:tc>
          <w:tcPr>
            <w:tcW w:w="850" w:type="dxa"/>
            <w:tcBorders>
              <w:top w:val="single" w:sz="12" w:space="0" w:color="auto"/>
              <w:left w:val="nil"/>
              <w:bottom w:val="single" w:sz="12" w:space="0" w:color="auto"/>
              <w:right w:val="nil"/>
            </w:tcBorders>
            <w:shd w:val="clear" w:color="auto" w:fill="auto"/>
            <w:noWrap/>
            <w:vAlign w:val="center"/>
          </w:tcPr>
          <w:p w14:paraId="18B319BD"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266,8</w:t>
            </w:r>
          </w:p>
        </w:tc>
      </w:tr>
      <w:tr w:rsidR="00E818F7" w:rsidRPr="001116C5" w14:paraId="16CC345D" w14:textId="77777777" w:rsidTr="0086616B">
        <w:trPr>
          <w:trHeight w:val="340"/>
        </w:trPr>
        <w:tc>
          <w:tcPr>
            <w:tcW w:w="2977" w:type="dxa"/>
            <w:tcBorders>
              <w:top w:val="nil"/>
              <w:left w:val="nil"/>
              <w:bottom w:val="nil"/>
              <w:right w:val="nil"/>
            </w:tcBorders>
            <w:shd w:val="clear" w:color="auto" w:fill="auto"/>
            <w:vAlign w:val="center"/>
            <w:hideMark/>
          </w:tcPr>
          <w:p w14:paraId="57C53ECC" w14:textId="77777777" w:rsidR="00E818F7" w:rsidRPr="001116C5" w:rsidRDefault="00E818F7" w:rsidP="0086616B">
            <w:pPr>
              <w:rPr>
                <w:rFonts w:asciiTheme="minorHAnsi" w:hAnsiTheme="minorHAnsi" w:cstheme="minorHAnsi"/>
                <w:color w:val="000000"/>
                <w:szCs w:val="22"/>
                <w:lang w:val="pt-PT"/>
              </w:rPr>
            </w:pPr>
            <w:r w:rsidRPr="001116C5">
              <w:rPr>
                <w:rFonts w:asciiTheme="minorHAnsi" w:hAnsiTheme="minorHAnsi" w:cstheme="minorHAnsi"/>
                <w:color w:val="000000"/>
                <w:szCs w:val="22"/>
                <w:lang w:val="pt-PT"/>
              </w:rPr>
              <w:t>Uredski materijal i ostali materijalni rashodi</w:t>
            </w:r>
          </w:p>
        </w:tc>
        <w:tc>
          <w:tcPr>
            <w:tcW w:w="1134" w:type="dxa"/>
            <w:tcBorders>
              <w:top w:val="nil"/>
              <w:left w:val="nil"/>
              <w:bottom w:val="nil"/>
              <w:right w:val="nil"/>
            </w:tcBorders>
            <w:shd w:val="clear" w:color="auto" w:fill="auto"/>
            <w:noWrap/>
            <w:vAlign w:val="center"/>
            <w:hideMark/>
          </w:tcPr>
          <w:p w14:paraId="4506EECD"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098</w:t>
            </w:r>
          </w:p>
        </w:tc>
        <w:tc>
          <w:tcPr>
            <w:tcW w:w="284" w:type="dxa"/>
            <w:tcBorders>
              <w:top w:val="nil"/>
              <w:left w:val="nil"/>
              <w:bottom w:val="nil"/>
              <w:right w:val="nil"/>
            </w:tcBorders>
            <w:shd w:val="clear" w:color="auto" w:fill="auto"/>
            <w:noWrap/>
            <w:vAlign w:val="center"/>
            <w:hideMark/>
          </w:tcPr>
          <w:p w14:paraId="36040E62"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54A88C4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3.904</w:t>
            </w:r>
          </w:p>
        </w:tc>
        <w:tc>
          <w:tcPr>
            <w:tcW w:w="283" w:type="dxa"/>
            <w:tcBorders>
              <w:top w:val="nil"/>
              <w:left w:val="nil"/>
              <w:bottom w:val="nil"/>
              <w:right w:val="nil"/>
            </w:tcBorders>
            <w:shd w:val="clear" w:color="auto" w:fill="auto"/>
            <w:noWrap/>
            <w:vAlign w:val="center"/>
          </w:tcPr>
          <w:p w14:paraId="6119A4D4"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2FD54597"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5.335</w:t>
            </w:r>
          </w:p>
        </w:tc>
        <w:tc>
          <w:tcPr>
            <w:tcW w:w="284" w:type="dxa"/>
            <w:tcBorders>
              <w:top w:val="nil"/>
              <w:left w:val="nil"/>
              <w:bottom w:val="nil"/>
              <w:right w:val="nil"/>
            </w:tcBorders>
            <w:shd w:val="clear" w:color="auto" w:fill="auto"/>
            <w:noWrap/>
            <w:vAlign w:val="center"/>
          </w:tcPr>
          <w:p w14:paraId="23DB6CE7"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33ED927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1.431</w:t>
            </w:r>
          </w:p>
        </w:tc>
        <w:tc>
          <w:tcPr>
            <w:tcW w:w="284" w:type="dxa"/>
            <w:tcBorders>
              <w:top w:val="nil"/>
              <w:left w:val="nil"/>
              <w:bottom w:val="nil"/>
              <w:right w:val="nil"/>
            </w:tcBorders>
            <w:shd w:val="clear" w:color="auto" w:fill="auto"/>
            <w:noWrap/>
            <w:vAlign w:val="center"/>
          </w:tcPr>
          <w:p w14:paraId="3C19A492"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3ECB42B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136,7</w:t>
            </w:r>
          </w:p>
        </w:tc>
      </w:tr>
      <w:tr w:rsidR="00E818F7" w:rsidRPr="001116C5" w14:paraId="108DFEA0" w14:textId="77777777" w:rsidTr="0086616B">
        <w:trPr>
          <w:trHeight w:val="340"/>
        </w:trPr>
        <w:tc>
          <w:tcPr>
            <w:tcW w:w="2977" w:type="dxa"/>
            <w:tcBorders>
              <w:top w:val="nil"/>
              <w:left w:val="nil"/>
              <w:bottom w:val="nil"/>
              <w:right w:val="nil"/>
            </w:tcBorders>
            <w:shd w:val="clear" w:color="auto" w:fill="auto"/>
            <w:vAlign w:val="center"/>
          </w:tcPr>
          <w:p w14:paraId="3301963F"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lastRenderedPageBreak/>
              <w:t>Materijal i sirovine</w:t>
            </w:r>
          </w:p>
        </w:tc>
        <w:tc>
          <w:tcPr>
            <w:tcW w:w="1134" w:type="dxa"/>
            <w:tcBorders>
              <w:top w:val="nil"/>
              <w:left w:val="nil"/>
              <w:bottom w:val="nil"/>
              <w:right w:val="nil"/>
            </w:tcBorders>
            <w:shd w:val="clear" w:color="auto" w:fill="auto"/>
            <w:noWrap/>
            <w:vAlign w:val="center"/>
          </w:tcPr>
          <w:p w14:paraId="5EEDCD25"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099</w:t>
            </w:r>
          </w:p>
        </w:tc>
        <w:tc>
          <w:tcPr>
            <w:tcW w:w="284" w:type="dxa"/>
            <w:tcBorders>
              <w:top w:val="nil"/>
              <w:left w:val="nil"/>
              <w:bottom w:val="nil"/>
              <w:right w:val="nil"/>
            </w:tcBorders>
            <w:shd w:val="clear" w:color="auto" w:fill="auto"/>
            <w:noWrap/>
            <w:vAlign w:val="center"/>
          </w:tcPr>
          <w:p w14:paraId="63E3F19C"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3AB8E07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34</w:t>
            </w:r>
          </w:p>
        </w:tc>
        <w:tc>
          <w:tcPr>
            <w:tcW w:w="283" w:type="dxa"/>
            <w:tcBorders>
              <w:top w:val="nil"/>
              <w:left w:val="nil"/>
              <w:bottom w:val="nil"/>
              <w:right w:val="nil"/>
            </w:tcBorders>
            <w:shd w:val="clear" w:color="auto" w:fill="auto"/>
            <w:noWrap/>
            <w:vAlign w:val="center"/>
          </w:tcPr>
          <w:p w14:paraId="6187F332" w14:textId="77777777" w:rsidR="00E818F7" w:rsidRPr="001116C5" w:rsidRDefault="00E818F7" w:rsidP="0086616B">
            <w:pPr>
              <w:jc w:val="right"/>
              <w:rPr>
                <w:rFonts w:asciiTheme="minorHAnsi" w:hAnsiTheme="minorHAnsi" w:cstheme="minorHAnsi"/>
                <w:szCs w:val="22"/>
              </w:rPr>
            </w:pPr>
          </w:p>
        </w:tc>
        <w:tc>
          <w:tcPr>
            <w:tcW w:w="1020" w:type="dxa"/>
            <w:tcBorders>
              <w:top w:val="nil"/>
              <w:left w:val="nil"/>
              <w:bottom w:val="nil"/>
              <w:right w:val="nil"/>
            </w:tcBorders>
            <w:shd w:val="clear" w:color="auto" w:fill="auto"/>
            <w:noWrap/>
            <w:vAlign w:val="center"/>
          </w:tcPr>
          <w:p w14:paraId="3789A75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116</w:t>
            </w:r>
          </w:p>
        </w:tc>
        <w:tc>
          <w:tcPr>
            <w:tcW w:w="284" w:type="dxa"/>
            <w:tcBorders>
              <w:top w:val="nil"/>
              <w:left w:val="nil"/>
              <w:bottom w:val="nil"/>
              <w:right w:val="nil"/>
            </w:tcBorders>
            <w:shd w:val="clear" w:color="auto" w:fill="auto"/>
            <w:noWrap/>
            <w:vAlign w:val="center"/>
          </w:tcPr>
          <w:p w14:paraId="36E4CCAE"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028D0B87"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82</w:t>
            </w:r>
          </w:p>
        </w:tc>
        <w:tc>
          <w:tcPr>
            <w:tcW w:w="284" w:type="dxa"/>
            <w:tcBorders>
              <w:top w:val="nil"/>
              <w:left w:val="nil"/>
              <w:bottom w:val="nil"/>
              <w:right w:val="nil"/>
            </w:tcBorders>
            <w:shd w:val="clear" w:color="auto" w:fill="auto"/>
            <w:noWrap/>
            <w:vAlign w:val="center"/>
          </w:tcPr>
          <w:p w14:paraId="77FFE520"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2F05E77A" w14:textId="77777777" w:rsidR="00E818F7" w:rsidRPr="001116C5" w:rsidRDefault="00E818F7" w:rsidP="0086616B">
            <w:pPr>
              <w:jc w:val="right"/>
              <w:rPr>
                <w:rFonts w:asciiTheme="minorHAnsi" w:hAnsiTheme="minorHAnsi" w:cstheme="minorHAnsi"/>
                <w:szCs w:val="22"/>
              </w:rPr>
            </w:pPr>
            <w:r w:rsidRPr="001116C5">
              <w:rPr>
                <w:rFonts w:asciiTheme="minorHAnsi" w:hAnsiTheme="minorHAnsi" w:cstheme="minorHAnsi"/>
                <w:color w:val="000000"/>
                <w:szCs w:val="22"/>
              </w:rPr>
              <w:t>341,2</w:t>
            </w:r>
          </w:p>
        </w:tc>
      </w:tr>
      <w:tr w:rsidR="00E818F7" w:rsidRPr="001116C5" w14:paraId="34B13D60" w14:textId="77777777" w:rsidTr="0086616B">
        <w:trPr>
          <w:trHeight w:val="340"/>
        </w:trPr>
        <w:tc>
          <w:tcPr>
            <w:tcW w:w="2977" w:type="dxa"/>
            <w:tcBorders>
              <w:top w:val="nil"/>
              <w:left w:val="nil"/>
              <w:bottom w:val="nil"/>
              <w:right w:val="nil"/>
            </w:tcBorders>
            <w:shd w:val="clear" w:color="auto" w:fill="auto"/>
            <w:vAlign w:val="center"/>
            <w:hideMark/>
          </w:tcPr>
          <w:p w14:paraId="326E08A8"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Energija</w:t>
            </w:r>
          </w:p>
        </w:tc>
        <w:tc>
          <w:tcPr>
            <w:tcW w:w="1134" w:type="dxa"/>
            <w:tcBorders>
              <w:top w:val="nil"/>
              <w:left w:val="nil"/>
              <w:bottom w:val="nil"/>
              <w:right w:val="nil"/>
            </w:tcBorders>
            <w:shd w:val="clear" w:color="auto" w:fill="auto"/>
            <w:noWrap/>
            <w:vAlign w:val="center"/>
            <w:hideMark/>
          </w:tcPr>
          <w:p w14:paraId="424EE847"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100</w:t>
            </w:r>
          </w:p>
        </w:tc>
        <w:tc>
          <w:tcPr>
            <w:tcW w:w="284" w:type="dxa"/>
            <w:tcBorders>
              <w:top w:val="nil"/>
              <w:left w:val="nil"/>
              <w:bottom w:val="nil"/>
              <w:right w:val="nil"/>
            </w:tcBorders>
            <w:shd w:val="clear" w:color="auto" w:fill="auto"/>
            <w:noWrap/>
            <w:vAlign w:val="center"/>
            <w:hideMark/>
          </w:tcPr>
          <w:p w14:paraId="6831BE10"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5755569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4.230</w:t>
            </w:r>
          </w:p>
        </w:tc>
        <w:tc>
          <w:tcPr>
            <w:tcW w:w="283" w:type="dxa"/>
            <w:tcBorders>
              <w:top w:val="nil"/>
              <w:left w:val="nil"/>
              <w:bottom w:val="nil"/>
              <w:right w:val="nil"/>
            </w:tcBorders>
            <w:shd w:val="clear" w:color="auto" w:fill="auto"/>
            <w:noWrap/>
            <w:vAlign w:val="center"/>
          </w:tcPr>
          <w:p w14:paraId="7FE78C1C"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70F70348"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4.394</w:t>
            </w:r>
          </w:p>
        </w:tc>
        <w:tc>
          <w:tcPr>
            <w:tcW w:w="284" w:type="dxa"/>
            <w:tcBorders>
              <w:top w:val="nil"/>
              <w:left w:val="nil"/>
              <w:bottom w:val="nil"/>
              <w:right w:val="nil"/>
            </w:tcBorders>
            <w:shd w:val="clear" w:color="auto" w:fill="auto"/>
            <w:noWrap/>
            <w:vAlign w:val="center"/>
          </w:tcPr>
          <w:p w14:paraId="4F45DDC3"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46595E60"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164</w:t>
            </w:r>
          </w:p>
        </w:tc>
        <w:tc>
          <w:tcPr>
            <w:tcW w:w="284" w:type="dxa"/>
            <w:tcBorders>
              <w:top w:val="nil"/>
              <w:left w:val="nil"/>
              <w:bottom w:val="nil"/>
              <w:right w:val="nil"/>
            </w:tcBorders>
            <w:shd w:val="clear" w:color="auto" w:fill="auto"/>
            <w:noWrap/>
            <w:vAlign w:val="center"/>
          </w:tcPr>
          <w:p w14:paraId="6D866F39"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5965E28E"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103,9</w:t>
            </w:r>
          </w:p>
        </w:tc>
      </w:tr>
      <w:tr w:rsidR="00E818F7" w:rsidRPr="001116C5" w14:paraId="5F15735A" w14:textId="77777777" w:rsidTr="0086616B">
        <w:trPr>
          <w:trHeight w:val="340"/>
        </w:trPr>
        <w:tc>
          <w:tcPr>
            <w:tcW w:w="2977" w:type="dxa"/>
            <w:tcBorders>
              <w:top w:val="nil"/>
              <w:left w:val="nil"/>
              <w:bottom w:val="nil"/>
              <w:right w:val="nil"/>
            </w:tcBorders>
            <w:shd w:val="clear" w:color="auto" w:fill="auto"/>
            <w:vAlign w:val="center"/>
            <w:hideMark/>
          </w:tcPr>
          <w:p w14:paraId="0E8C52E9" w14:textId="77777777" w:rsidR="00E818F7" w:rsidRPr="001116C5" w:rsidRDefault="00E818F7" w:rsidP="0086616B">
            <w:pPr>
              <w:rPr>
                <w:rFonts w:asciiTheme="minorHAnsi" w:hAnsiTheme="minorHAnsi" w:cstheme="minorHAnsi"/>
                <w:color w:val="000000"/>
                <w:szCs w:val="22"/>
                <w:lang w:val="pt-PT"/>
              </w:rPr>
            </w:pPr>
            <w:r w:rsidRPr="001116C5">
              <w:rPr>
                <w:rFonts w:asciiTheme="minorHAnsi" w:hAnsiTheme="minorHAnsi" w:cstheme="minorHAnsi"/>
                <w:color w:val="000000"/>
                <w:szCs w:val="22"/>
                <w:lang w:val="pt-PT"/>
              </w:rPr>
              <w:t>Sitan inventar i auto gume</w:t>
            </w:r>
          </w:p>
        </w:tc>
        <w:tc>
          <w:tcPr>
            <w:tcW w:w="1134" w:type="dxa"/>
            <w:tcBorders>
              <w:top w:val="nil"/>
              <w:left w:val="nil"/>
              <w:bottom w:val="nil"/>
              <w:right w:val="nil"/>
            </w:tcBorders>
            <w:shd w:val="clear" w:color="auto" w:fill="auto"/>
            <w:noWrap/>
            <w:vAlign w:val="center"/>
            <w:hideMark/>
          </w:tcPr>
          <w:p w14:paraId="38556F9D"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101</w:t>
            </w:r>
          </w:p>
        </w:tc>
        <w:tc>
          <w:tcPr>
            <w:tcW w:w="284" w:type="dxa"/>
            <w:tcBorders>
              <w:top w:val="nil"/>
              <w:left w:val="nil"/>
              <w:bottom w:val="nil"/>
              <w:right w:val="nil"/>
            </w:tcBorders>
            <w:shd w:val="clear" w:color="auto" w:fill="auto"/>
            <w:noWrap/>
            <w:vAlign w:val="center"/>
            <w:hideMark/>
          </w:tcPr>
          <w:p w14:paraId="40A7B200"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single" w:sz="12" w:space="0" w:color="auto"/>
              <w:right w:val="nil"/>
            </w:tcBorders>
            <w:shd w:val="clear" w:color="auto" w:fill="auto"/>
            <w:noWrap/>
            <w:vAlign w:val="center"/>
          </w:tcPr>
          <w:p w14:paraId="7C648D47"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535</w:t>
            </w:r>
          </w:p>
        </w:tc>
        <w:tc>
          <w:tcPr>
            <w:tcW w:w="283" w:type="dxa"/>
            <w:tcBorders>
              <w:top w:val="nil"/>
              <w:left w:val="nil"/>
              <w:bottom w:val="nil"/>
              <w:right w:val="nil"/>
            </w:tcBorders>
            <w:shd w:val="clear" w:color="auto" w:fill="auto"/>
            <w:noWrap/>
            <w:vAlign w:val="center"/>
          </w:tcPr>
          <w:p w14:paraId="388CD07C"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bottom w:val="single" w:sz="12" w:space="0" w:color="auto"/>
              <w:right w:val="nil"/>
            </w:tcBorders>
            <w:shd w:val="clear" w:color="auto" w:fill="auto"/>
            <w:noWrap/>
            <w:vAlign w:val="center"/>
          </w:tcPr>
          <w:p w14:paraId="0D26E9E9"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1.134</w:t>
            </w:r>
          </w:p>
        </w:tc>
        <w:tc>
          <w:tcPr>
            <w:tcW w:w="284" w:type="dxa"/>
            <w:tcBorders>
              <w:top w:val="nil"/>
              <w:left w:val="nil"/>
              <w:bottom w:val="nil"/>
              <w:right w:val="nil"/>
            </w:tcBorders>
            <w:shd w:val="clear" w:color="auto" w:fill="auto"/>
            <w:noWrap/>
            <w:vAlign w:val="center"/>
          </w:tcPr>
          <w:p w14:paraId="28E8405A"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single" w:sz="12" w:space="0" w:color="auto"/>
              <w:right w:val="nil"/>
            </w:tcBorders>
            <w:shd w:val="clear" w:color="auto" w:fill="auto"/>
            <w:noWrap/>
            <w:vAlign w:val="center"/>
          </w:tcPr>
          <w:p w14:paraId="70F972B7"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599</w:t>
            </w:r>
          </w:p>
        </w:tc>
        <w:tc>
          <w:tcPr>
            <w:tcW w:w="284" w:type="dxa"/>
            <w:tcBorders>
              <w:top w:val="nil"/>
              <w:left w:val="nil"/>
              <w:bottom w:val="nil"/>
              <w:right w:val="nil"/>
            </w:tcBorders>
            <w:shd w:val="clear" w:color="auto" w:fill="auto"/>
            <w:noWrap/>
            <w:vAlign w:val="center"/>
          </w:tcPr>
          <w:p w14:paraId="2CB2D543"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single" w:sz="12" w:space="0" w:color="auto"/>
              <w:right w:val="nil"/>
            </w:tcBorders>
            <w:shd w:val="clear" w:color="auto" w:fill="auto"/>
            <w:noWrap/>
            <w:vAlign w:val="center"/>
          </w:tcPr>
          <w:p w14:paraId="63AC2BB4"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212,0</w:t>
            </w:r>
          </w:p>
        </w:tc>
      </w:tr>
      <w:tr w:rsidR="00E818F7" w:rsidRPr="001116C5" w14:paraId="5D211A10" w14:textId="77777777" w:rsidTr="0086616B">
        <w:trPr>
          <w:trHeight w:val="340"/>
        </w:trPr>
        <w:tc>
          <w:tcPr>
            <w:tcW w:w="2977" w:type="dxa"/>
            <w:tcBorders>
              <w:top w:val="nil"/>
              <w:left w:val="nil"/>
              <w:bottom w:val="nil"/>
              <w:right w:val="nil"/>
            </w:tcBorders>
            <w:shd w:val="clear" w:color="auto" w:fill="auto"/>
            <w:vAlign w:val="center"/>
            <w:hideMark/>
          </w:tcPr>
          <w:p w14:paraId="54F7312A" w14:textId="77777777" w:rsidR="00E818F7" w:rsidRPr="001116C5" w:rsidRDefault="00E818F7" w:rsidP="0086616B">
            <w:pPr>
              <w:rPr>
                <w:rFonts w:asciiTheme="minorHAnsi" w:hAnsiTheme="minorHAnsi" w:cstheme="minorHAnsi"/>
                <w:b/>
                <w:bCs/>
                <w:color w:val="000000"/>
                <w:szCs w:val="22"/>
                <w:lang w:val="pt-PT"/>
              </w:rPr>
            </w:pPr>
            <w:r w:rsidRPr="001116C5">
              <w:rPr>
                <w:rFonts w:asciiTheme="minorHAnsi" w:hAnsiTheme="minorHAnsi" w:cstheme="minorHAnsi"/>
                <w:b/>
                <w:bCs/>
                <w:color w:val="000000"/>
                <w:szCs w:val="22"/>
                <w:lang w:val="pt-PT"/>
              </w:rPr>
              <w:t>Ukupno rashodi za materijal i energiju</w:t>
            </w:r>
          </w:p>
        </w:tc>
        <w:tc>
          <w:tcPr>
            <w:tcW w:w="1134" w:type="dxa"/>
            <w:tcBorders>
              <w:top w:val="nil"/>
              <w:left w:val="nil"/>
              <w:bottom w:val="nil"/>
              <w:right w:val="nil"/>
            </w:tcBorders>
            <w:shd w:val="clear" w:color="auto" w:fill="auto"/>
            <w:noWrap/>
            <w:vAlign w:val="center"/>
            <w:hideMark/>
          </w:tcPr>
          <w:p w14:paraId="2A26008F"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097</w:t>
            </w:r>
          </w:p>
        </w:tc>
        <w:tc>
          <w:tcPr>
            <w:tcW w:w="284" w:type="dxa"/>
            <w:tcBorders>
              <w:top w:val="nil"/>
              <w:left w:val="nil"/>
              <w:bottom w:val="nil"/>
              <w:right w:val="nil"/>
            </w:tcBorders>
            <w:shd w:val="clear" w:color="auto" w:fill="auto"/>
            <w:noWrap/>
            <w:vAlign w:val="center"/>
            <w:hideMark/>
          </w:tcPr>
          <w:p w14:paraId="0EF041CC" w14:textId="77777777" w:rsidR="00E818F7" w:rsidRPr="001116C5" w:rsidRDefault="00E818F7" w:rsidP="0086616B">
            <w:pPr>
              <w:jc w:val="center"/>
              <w:rPr>
                <w:rFonts w:asciiTheme="minorHAnsi" w:hAnsiTheme="minorHAnsi" w:cstheme="minorHAnsi"/>
                <w:b/>
                <w:bCs/>
                <w:color w:val="000000"/>
                <w:szCs w:val="22"/>
              </w:rPr>
            </w:pPr>
          </w:p>
        </w:tc>
        <w:tc>
          <w:tcPr>
            <w:tcW w:w="1106" w:type="dxa"/>
            <w:tcBorders>
              <w:top w:val="single" w:sz="12" w:space="0" w:color="auto"/>
              <w:left w:val="nil"/>
              <w:bottom w:val="single" w:sz="12" w:space="0" w:color="auto"/>
              <w:right w:val="nil"/>
            </w:tcBorders>
            <w:shd w:val="clear" w:color="auto" w:fill="auto"/>
            <w:noWrap/>
            <w:vAlign w:val="center"/>
          </w:tcPr>
          <w:p w14:paraId="3218EC67"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8.703</w:t>
            </w:r>
          </w:p>
        </w:tc>
        <w:tc>
          <w:tcPr>
            <w:tcW w:w="283" w:type="dxa"/>
            <w:tcBorders>
              <w:top w:val="nil"/>
              <w:left w:val="nil"/>
              <w:bottom w:val="nil"/>
              <w:right w:val="nil"/>
            </w:tcBorders>
            <w:shd w:val="clear" w:color="auto" w:fill="auto"/>
            <w:noWrap/>
            <w:vAlign w:val="center"/>
          </w:tcPr>
          <w:p w14:paraId="0131F53A" w14:textId="77777777" w:rsidR="00E818F7" w:rsidRPr="001116C5" w:rsidRDefault="00E818F7" w:rsidP="0086616B">
            <w:pPr>
              <w:jc w:val="right"/>
              <w:rPr>
                <w:rFonts w:asciiTheme="minorHAnsi" w:hAnsiTheme="minorHAnsi" w:cstheme="minorHAnsi"/>
                <w:b/>
                <w:bCs/>
                <w:color w:val="000000"/>
                <w:szCs w:val="22"/>
              </w:rPr>
            </w:pPr>
          </w:p>
        </w:tc>
        <w:tc>
          <w:tcPr>
            <w:tcW w:w="1020" w:type="dxa"/>
            <w:tcBorders>
              <w:top w:val="single" w:sz="12" w:space="0" w:color="auto"/>
              <w:left w:val="nil"/>
              <w:bottom w:val="single" w:sz="12" w:space="0" w:color="auto"/>
              <w:right w:val="nil"/>
            </w:tcBorders>
            <w:shd w:val="clear" w:color="auto" w:fill="auto"/>
            <w:noWrap/>
            <w:vAlign w:val="center"/>
          </w:tcPr>
          <w:p w14:paraId="74996252"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10.979</w:t>
            </w:r>
          </w:p>
        </w:tc>
        <w:tc>
          <w:tcPr>
            <w:tcW w:w="284" w:type="dxa"/>
            <w:tcBorders>
              <w:top w:val="nil"/>
              <w:left w:val="nil"/>
              <w:bottom w:val="nil"/>
              <w:right w:val="nil"/>
            </w:tcBorders>
            <w:shd w:val="clear" w:color="auto" w:fill="auto"/>
            <w:noWrap/>
            <w:vAlign w:val="center"/>
          </w:tcPr>
          <w:p w14:paraId="3B5DE318" w14:textId="77777777" w:rsidR="00E818F7" w:rsidRPr="001116C5" w:rsidRDefault="00E818F7" w:rsidP="0086616B">
            <w:pPr>
              <w:jc w:val="right"/>
              <w:rPr>
                <w:rFonts w:asciiTheme="minorHAnsi" w:hAnsiTheme="minorHAnsi" w:cstheme="minorHAnsi"/>
                <w:b/>
                <w:bCs/>
                <w:color w:val="000000"/>
                <w:szCs w:val="22"/>
              </w:rPr>
            </w:pPr>
          </w:p>
        </w:tc>
        <w:tc>
          <w:tcPr>
            <w:tcW w:w="992" w:type="dxa"/>
            <w:tcBorders>
              <w:top w:val="single" w:sz="12" w:space="0" w:color="auto"/>
              <w:left w:val="nil"/>
              <w:bottom w:val="single" w:sz="12" w:space="0" w:color="auto"/>
              <w:right w:val="nil"/>
            </w:tcBorders>
            <w:shd w:val="clear" w:color="auto" w:fill="auto"/>
            <w:noWrap/>
            <w:vAlign w:val="center"/>
          </w:tcPr>
          <w:p w14:paraId="1BDDE61D"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2.276</w:t>
            </w:r>
          </w:p>
        </w:tc>
        <w:tc>
          <w:tcPr>
            <w:tcW w:w="284" w:type="dxa"/>
            <w:tcBorders>
              <w:top w:val="nil"/>
              <w:left w:val="nil"/>
              <w:bottom w:val="nil"/>
              <w:right w:val="nil"/>
            </w:tcBorders>
            <w:shd w:val="clear" w:color="auto" w:fill="auto"/>
            <w:noWrap/>
            <w:vAlign w:val="center"/>
          </w:tcPr>
          <w:p w14:paraId="2AD1AA92" w14:textId="77777777" w:rsidR="00E818F7" w:rsidRPr="001116C5" w:rsidRDefault="00E818F7" w:rsidP="0086616B">
            <w:pPr>
              <w:jc w:val="right"/>
              <w:rPr>
                <w:rFonts w:asciiTheme="minorHAnsi" w:hAnsiTheme="minorHAnsi" w:cstheme="minorHAnsi"/>
                <w:b/>
                <w:bCs/>
                <w:color w:val="000000"/>
                <w:szCs w:val="22"/>
              </w:rPr>
            </w:pPr>
          </w:p>
        </w:tc>
        <w:tc>
          <w:tcPr>
            <w:tcW w:w="850" w:type="dxa"/>
            <w:tcBorders>
              <w:top w:val="single" w:sz="12" w:space="0" w:color="auto"/>
              <w:left w:val="nil"/>
              <w:bottom w:val="single" w:sz="12" w:space="0" w:color="auto"/>
              <w:right w:val="nil"/>
            </w:tcBorders>
            <w:shd w:val="clear" w:color="auto" w:fill="auto"/>
            <w:noWrap/>
            <w:vAlign w:val="center"/>
          </w:tcPr>
          <w:p w14:paraId="48897A2E"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126,2</w:t>
            </w:r>
          </w:p>
        </w:tc>
      </w:tr>
      <w:tr w:rsidR="00E818F7" w:rsidRPr="001116C5" w14:paraId="1A68F606" w14:textId="77777777" w:rsidTr="0086616B">
        <w:trPr>
          <w:trHeight w:val="340"/>
        </w:trPr>
        <w:tc>
          <w:tcPr>
            <w:tcW w:w="2977" w:type="dxa"/>
            <w:tcBorders>
              <w:top w:val="nil"/>
              <w:left w:val="nil"/>
              <w:bottom w:val="nil"/>
              <w:right w:val="nil"/>
            </w:tcBorders>
            <w:shd w:val="clear" w:color="auto" w:fill="auto"/>
            <w:vAlign w:val="center"/>
            <w:hideMark/>
          </w:tcPr>
          <w:p w14:paraId="59F1D278"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Premije osiguranja</w:t>
            </w:r>
          </w:p>
        </w:tc>
        <w:tc>
          <w:tcPr>
            <w:tcW w:w="1134" w:type="dxa"/>
            <w:tcBorders>
              <w:top w:val="nil"/>
              <w:left w:val="nil"/>
              <w:bottom w:val="nil"/>
              <w:right w:val="nil"/>
            </w:tcBorders>
            <w:shd w:val="clear" w:color="auto" w:fill="auto"/>
            <w:noWrap/>
            <w:vAlign w:val="center"/>
            <w:hideMark/>
          </w:tcPr>
          <w:p w14:paraId="2D242CB2"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103</w:t>
            </w:r>
          </w:p>
        </w:tc>
        <w:tc>
          <w:tcPr>
            <w:tcW w:w="284" w:type="dxa"/>
            <w:tcBorders>
              <w:top w:val="nil"/>
              <w:left w:val="nil"/>
              <w:bottom w:val="nil"/>
              <w:right w:val="nil"/>
            </w:tcBorders>
            <w:shd w:val="clear" w:color="auto" w:fill="auto"/>
            <w:noWrap/>
            <w:vAlign w:val="center"/>
            <w:hideMark/>
          </w:tcPr>
          <w:p w14:paraId="5FD3801B"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bottom w:val="nil"/>
              <w:right w:val="nil"/>
            </w:tcBorders>
            <w:shd w:val="clear" w:color="auto" w:fill="auto"/>
            <w:noWrap/>
            <w:vAlign w:val="center"/>
          </w:tcPr>
          <w:p w14:paraId="4FE664AC"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476</w:t>
            </w:r>
          </w:p>
        </w:tc>
        <w:tc>
          <w:tcPr>
            <w:tcW w:w="283" w:type="dxa"/>
            <w:tcBorders>
              <w:top w:val="nil"/>
              <w:left w:val="nil"/>
              <w:bottom w:val="nil"/>
              <w:right w:val="nil"/>
            </w:tcBorders>
            <w:shd w:val="clear" w:color="auto" w:fill="auto"/>
            <w:noWrap/>
            <w:vAlign w:val="center"/>
          </w:tcPr>
          <w:p w14:paraId="54B104A8"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bottom w:val="nil"/>
              <w:right w:val="nil"/>
            </w:tcBorders>
            <w:shd w:val="clear" w:color="auto" w:fill="auto"/>
            <w:noWrap/>
            <w:vAlign w:val="center"/>
          </w:tcPr>
          <w:p w14:paraId="260C89A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482</w:t>
            </w:r>
          </w:p>
        </w:tc>
        <w:tc>
          <w:tcPr>
            <w:tcW w:w="284" w:type="dxa"/>
            <w:tcBorders>
              <w:top w:val="nil"/>
              <w:left w:val="nil"/>
              <w:bottom w:val="nil"/>
              <w:right w:val="nil"/>
            </w:tcBorders>
            <w:shd w:val="clear" w:color="auto" w:fill="auto"/>
            <w:noWrap/>
            <w:vAlign w:val="center"/>
          </w:tcPr>
          <w:p w14:paraId="4A08D535"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noWrap/>
            <w:vAlign w:val="center"/>
          </w:tcPr>
          <w:p w14:paraId="4FE8256C"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6</w:t>
            </w:r>
          </w:p>
        </w:tc>
        <w:tc>
          <w:tcPr>
            <w:tcW w:w="284" w:type="dxa"/>
            <w:tcBorders>
              <w:top w:val="nil"/>
              <w:left w:val="nil"/>
              <w:bottom w:val="nil"/>
              <w:right w:val="nil"/>
            </w:tcBorders>
            <w:shd w:val="clear" w:color="auto" w:fill="auto"/>
            <w:noWrap/>
            <w:vAlign w:val="center"/>
          </w:tcPr>
          <w:p w14:paraId="17F091E7"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nil"/>
              <w:right w:val="nil"/>
            </w:tcBorders>
            <w:shd w:val="clear" w:color="auto" w:fill="auto"/>
            <w:noWrap/>
            <w:vAlign w:val="center"/>
          </w:tcPr>
          <w:p w14:paraId="031A1374"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101,3</w:t>
            </w:r>
          </w:p>
        </w:tc>
      </w:tr>
      <w:tr w:rsidR="00E818F7" w:rsidRPr="001116C5" w14:paraId="39E57238" w14:textId="77777777" w:rsidTr="0086616B">
        <w:trPr>
          <w:trHeight w:val="340"/>
        </w:trPr>
        <w:tc>
          <w:tcPr>
            <w:tcW w:w="2977" w:type="dxa"/>
            <w:tcBorders>
              <w:top w:val="nil"/>
              <w:left w:val="nil"/>
              <w:bottom w:val="nil"/>
              <w:right w:val="nil"/>
            </w:tcBorders>
            <w:shd w:val="clear" w:color="auto" w:fill="auto"/>
            <w:vAlign w:val="center"/>
            <w:hideMark/>
          </w:tcPr>
          <w:p w14:paraId="47B31674"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Reprezentacija</w:t>
            </w:r>
          </w:p>
        </w:tc>
        <w:tc>
          <w:tcPr>
            <w:tcW w:w="1134" w:type="dxa"/>
            <w:tcBorders>
              <w:top w:val="nil"/>
              <w:left w:val="nil"/>
              <w:bottom w:val="nil"/>
              <w:right w:val="nil"/>
            </w:tcBorders>
            <w:shd w:val="clear" w:color="auto" w:fill="auto"/>
            <w:noWrap/>
            <w:vAlign w:val="center"/>
            <w:hideMark/>
          </w:tcPr>
          <w:p w14:paraId="3C713B8E"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104</w:t>
            </w:r>
          </w:p>
        </w:tc>
        <w:tc>
          <w:tcPr>
            <w:tcW w:w="284" w:type="dxa"/>
            <w:tcBorders>
              <w:top w:val="nil"/>
              <w:left w:val="nil"/>
              <w:bottom w:val="nil"/>
              <w:right w:val="nil"/>
            </w:tcBorders>
            <w:shd w:val="clear" w:color="auto" w:fill="auto"/>
            <w:noWrap/>
            <w:vAlign w:val="center"/>
            <w:hideMark/>
          </w:tcPr>
          <w:p w14:paraId="5F068123"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right w:val="nil"/>
            </w:tcBorders>
            <w:shd w:val="clear" w:color="auto" w:fill="auto"/>
            <w:noWrap/>
            <w:vAlign w:val="center"/>
          </w:tcPr>
          <w:p w14:paraId="179511A8"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1.852</w:t>
            </w:r>
          </w:p>
        </w:tc>
        <w:tc>
          <w:tcPr>
            <w:tcW w:w="283" w:type="dxa"/>
            <w:tcBorders>
              <w:top w:val="nil"/>
              <w:left w:val="nil"/>
              <w:right w:val="nil"/>
            </w:tcBorders>
            <w:shd w:val="clear" w:color="auto" w:fill="auto"/>
            <w:noWrap/>
            <w:vAlign w:val="center"/>
          </w:tcPr>
          <w:p w14:paraId="4CD309C3"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right w:val="nil"/>
            </w:tcBorders>
            <w:shd w:val="clear" w:color="auto" w:fill="auto"/>
            <w:noWrap/>
            <w:vAlign w:val="center"/>
          </w:tcPr>
          <w:p w14:paraId="572A4C5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15.247</w:t>
            </w:r>
          </w:p>
        </w:tc>
        <w:tc>
          <w:tcPr>
            <w:tcW w:w="284" w:type="dxa"/>
            <w:tcBorders>
              <w:top w:val="nil"/>
              <w:left w:val="nil"/>
              <w:right w:val="nil"/>
            </w:tcBorders>
            <w:shd w:val="clear" w:color="auto" w:fill="auto"/>
            <w:noWrap/>
            <w:vAlign w:val="center"/>
          </w:tcPr>
          <w:p w14:paraId="0CC0736A"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right w:val="nil"/>
            </w:tcBorders>
            <w:shd w:val="clear" w:color="auto" w:fill="auto"/>
            <w:noWrap/>
            <w:vAlign w:val="center"/>
          </w:tcPr>
          <w:p w14:paraId="4E186500"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13.395</w:t>
            </w:r>
          </w:p>
        </w:tc>
        <w:tc>
          <w:tcPr>
            <w:tcW w:w="284" w:type="dxa"/>
            <w:tcBorders>
              <w:top w:val="nil"/>
              <w:left w:val="nil"/>
              <w:right w:val="nil"/>
            </w:tcBorders>
            <w:shd w:val="clear" w:color="auto" w:fill="auto"/>
            <w:noWrap/>
            <w:vAlign w:val="center"/>
          </w:tcPr>
          <w:p w14:paraId="18E79362"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right w:val="nil"/>
            </w:tcBorders>
            <w:shd w:val="clear" w:color="auto" w:fill="auto"/>
            <w:noWrap/>
            <w:vAlign w:val="center"/>
          </w:tcPr>
          <w:p w14:paraId="070DDD0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823,3</w:t>
            </w:r>
          </w:p>
        </w:tc>
      </w:tr>
      <w:tr w:rsidR="00E818F7" w:rsidRPr="001116C5" w14:paraId="55CE17C8" w14:textId="77777777" w:rsidTr="0086616B">
        <w:trPr>
          <w:trHeight w:val="340"/>
        </w:trPr>
        <w:tc>
          <w:tcPr>
            <w:tcW w:w="2977" w:type="dxa"/>
            <w:tcBorders>
              <w:top w:val="nil"/>
              <w:left w:val="nil"/>
              <w:bottom w:val="nil"/>
              <w:right w:val="nil"/>
            </w:tcBorders>
            <w:shd w:val="clear" w:color="auto" w:fill="auto"/>
            <w:vAlign w:val="center"/>
            <w:hideMark/>
          </w:tcPr>
          <w:p w14:paraId="325BA0EA"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Članarine</w:t>
            </w:r>
          </w:p>
        </w:tc>
        <w:tc>
          <w:tcPr>
            <w:tcW w:w="1134" w:type="dxa"/>
            <w:tcBorders>
              <w:top w:val="nil"/>
              <w:left w:val="nil"/>
              <w:bottom w:val="nil"/>
              <w:right w:val="nil"/>
            </w:tcBorders>
            <w:shd w:val="clear" w:color="auto" w:fill="auto"/>
            <w:noWrap/>
            <w:vAlign w:val="center"/>
            <w:hideMark/>
          </w:tcPr>
          <w:p w14:paraId="0039114B"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105</w:t>
            </w:r>
          </w:p>
        </w:tc>
        <w:tc>
          <w:tcPr>
            <w:tcW w:w="284" w:type="dxa"/>
            <w:tcBorders>
              <w:top w:val="nil"/>
              <w:left w:val="nil"/>
              <w:bottom w:val="nil"/>
              <w:right w:val="nil"/>
            </w:tcBorders>
            <w:shd w:val="clear" w:color="auto" w:fill="auto"/>
            <w:noWrap/>
            <w:vAlign w:val="center"/>
            <w:hideMark/>
          </w:tcPr>
          <w:p w14:paraId="28592D62" w14:textId="77777777" w:rsidR="00E818F7" w:rsidRPr="001116C5" w:rsidRDefault="00E818F7" w:rsidP="0086616B">
            <w:pPr>
              <w:jc w:val="center"/>
              <w:rPr>
                <w:rFonts w:asciiTheme="minorHAnsi" w:hAnsiTheme="minorHAnsi" w:cstheme="minorHAnsi"/>
                <w:color w:val="000000"/>
                <w:szCs w:val="22"/>
              </w:rPr>
            </w:pPr>
          </w:p>
        </w:tc>
        <w:tc>
          <w:tcPr>
            <w:tcW w:w="1106" w:type="dxa"/>
            <w:tcBorders>
              <w:top w:val="nil"/>
              <w:left w:val="nil"/>
              <w:right w:val="nil"/>
            </w:tcBorders>
            <w:shd w:val="clear" w:color="auto" w:fill="auto"/>
            <w:noWrap/>
            <w:vAlign w:val="center"/>
          </w:tcPr>
          <w:p w14:paraId="002ED8DB"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166</w:t>
            </w:r>
          </w:p>
        </w:tc>
        <w:tc>
          <w:tcPr>
            <w:tcW w:w="283" w:type="dxa"/>
            <w:tcBorders>
              <w:top w:val="nil"/>
              <w:left w:val="nil"/>
              <w:right w:val="nil"/>
            </w:tcBorders>
            <w:shd w:val="clear" w:color="auto" w:fill="auto"/>
            <w:noWrap/>
            <w:vAlign w:val="center"/>
          </w:tcPr>
          <w:p w14:paraId="2041F9AA" w14:textId="77777777" w:rsidR="00E818F7" w:rsidRPr="001116C5" w:rsidRDefault="00E818F7" w:rsidP="0086616B">
            <w:pPr>
              <w:jc w:val="right"/>
              <w:rPr>
                <w:rFonts w:asciiTheme="minorHAnsi" w:hAnsiTheme="minorHAnsi" w:cstheme="minorHAnsi"/>
                <w:color w:val="000000"/>
                <w:szCs w:val="22"/>
              </w:rPr>
            </w:pPr>
          </w:p>
        </w:tc>
        <w:tc>
          <w:tcPr>
            <w:tcW w:w="1020" w:type="dxa"/>
            <w:tcBorders>
              <w:top w:val="nil"/>
              <w:left w:val="nil"/>
              <w:right w:val="nil"/>
            </w:tcBorders>
            <w:shd w:val="clear" w:color="auto" w:fill="auto"/>
            <w:noWrap/>
            <w:vAlign w:val="center"/>
          </w:tcPr>
          <w:p w14:paraId="1E13B9C4"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166</w:t>
            </w:r>
          </w:p>
        </w:tc>
        <w:tc>
          <w:tcPr>
            <w:tcW w:w="284" w:type="dxa"/>
            <w:tcBorders>
              <w:top w:val="nil"/>
              <w:left w:val="nil"/>
              <w:right w:val="nil"/>
            </w:tcBorders>
            <w:shd w:val="clear" w:color="auto" w:fill="auto"/>
            <w:noWrap/>
            <w:vAlign w:val="center"/>
          </w:tcPr>
          <w:p w14:paraId="75CA4F3E"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right w:val="nil"/>
            </w:tcBorders>
            <w:shd w:val="clear" w:color="auto" w:fill="auto"/>
            <w:noWrap/>
            <w:vAlign w:val="center"/>
          </w:tcPr>
          <w:p w14:paraId="6D4F02D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c>
          <w:tcPr>
            <w:tcW w:w="284" w:type="dxa"/>
            <w:tcBorders>
              <w:top w:val="nil"/>
              <w:left w:val="nil"/>
              <w:right w:val="nil"/>
            </w:tcBorders>
            <w:shd w:val="clear" w:color="auto" w:fill="auto"/>
            <w:noWrap/>
            <w:vAlign w:val="center"/>
          </w:tcPr>
          <w:p w14:paraId="0B2C1187"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right w:val="nil"/>
            </w:tcBorders>
            <w:shd w:val="clear" w:color="auto" w:fill="auto"/>
            <w:noWrap/>
            <w:vAlign w:val="center"/>
          </w:tcPr>
          <w:p w14:paraId="34A9166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100,0</w:t>
            </w:r>
          </w:p>
        </w:tc>
      </w:tr>
      <w:tr w:rsidR="00E818F7" w:rsidRPr="001116C5" w14:paraId="24216218" w14:textId="77777777" w:rsidTr="0086616B">
        <w:trPr>
          <w:trHeight w:val="340"/>
        </w:trPr>
        <w:tc>
          <w:tcPr>
            <w:tcW w:w="2977" w:type="dxa"/>
            <w:tcBorders>
              <w:top w:val="nil"/>
              <w:left w:val="nil"/>
              <w:bottom w:val="nil"/>
              <w:right w:val="nil"/>
            </w:tcBorders>
            <w:shd w:val="clear" w:color="auto" w:fill="auto"/>
            <w:vAlign w:val="center"/>
          </w:tcPr>
          <w:p w14:paraId="5E7338BC"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Kotizacije</w:t>
            </w:r>
          </w:p>
        </w:tc>
        <w:tc>
          <w:tcPr>
            <w:tcW w:w="1134" w:type="dxa"/>
            <w:tcBorders>
              <w:top w:val="nil"/>
              <w:left w:val="nil"/>
              <w:bottom w:val="nil"/>
              <w:right w:val="nil"/>
            </w:tcBorders>
            <w:shd w:val="clear" w:color="auto" w:fill="auto"/>
            <w:noWrap/>
            <w:vAlign w:val="center"/>
          </w:tcPr>
          <w:p w14:paraId="05545F6A"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AOP 106</w:t>
            </w:r>
          </w:p>
        </w:tc>
        <w:tc>
          <w:tcPr>
            <w:tcW w:w="284" w:type="dxa"/>
            <w:tcBorders>
              <w:top w:val="nil"/>
              <w:left w:val="nil"/>
              <w:bottom w:val="nil"/>
              <w:right w:val="nil"/>
            </w:tcBorders>
            <w:shd w:val="clear" w:color="auto" w:fill="auto"/>
            <w:noWrap/>
            <w:vAlign w:val="center"/>
          </w:tcPr>
          <w:p w14:paraId="10DD1431" w14:textId="77777777" w:rsidR="00E818F7" w:rsidRPr="001116C5" w:rsidRDefault="00E818F7" w:rsidP="0086616B">
            <w:pPr>
              <w:jc w:val="center"/>
              <w:rPr>
                <w:rFonts w:asciiTheme="minorHAnsi" w:hAnsiTheme="minorHAnsi" w:cstheme="minorHAnsi"/>
                <w:color w:val="000000"/>
                <w:szCs w:val="22"/>
              </w:rPr>
            </w:pPr>
          </w:p>
        </w:tc>
        <w:tc>
          <w:tcPr>
            <w:tcW w:w="1106" w:type="dxa"/>
            <w:tcBorders>
              <w:left w:val="nil"/>
              <w:bottom w:val="single" w:sz="12" w:space="0" w:color="auto"/>
              <w:right w:val="nil"/>
            </w:tcBorders>
            <w:shd w:val="clear" w:color="auto" w:fill="auto"/>
            <w:noWrap/>
            <w:vAlign w:val="center"/>
          </w:tcPr>
          <w:p w14:paraId="0C5C5580"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40</w:t>
            </w:r>
          </w:p>
        </w:tc>
        <w:tc>
          <w:tcPr>
            <w:tcW w:w="283" w:type="dxa"/>
            <w:tcBorders>
              <w:left w:val="nil"/>
              <w:bottom w:val="nil"/>
              <w:right w:val="nil"/>
            </w:tcBorders>
            <w:shd w:val="clear" w:color="auto" w:fill="auto"/>
            <w:noWrap/>
            <w:vAlign w:val="center"/>
          </w:tcPr>
          <w:p w14:paraId="4D48BDBB" w14:textId="77777777" w:rsidR="00E818F7" w:rsidRPr="001116C5" w:rsidRDefault="00E818F7" w:rsidP="0086616B">
            <w:pPr>
              <w:jc w:val="right"/>
              <w:rPr>
                <w:rFonts w:asciiTheme="minorHAnsi" w:hAnsiTheme="minorHAnsi" w:cstheme="minorHAnsi"/>
                <w:szCs w:val="22"/>
              </w:rPr>
            </w:pPr>
          </w:p>
        </w:tc>
        <w:tc>
          <w:tcPr>
            <w:tcW w:w="1020" w:type="dxa"/>
            <w:tcBorders>
              <w:left w:val="nil"/>
              <w:bottom w:val="single" w:sz="12" w:space="0" w:color="auto"/>
              <w:right w:val="nil"/>
            </w:tcBorders>
            <w:shd w:val="clear" w:color="auto" w:fill="auto"/>
            <w:noWrap/>
            <w:vAlign w:val="center"/>
          </w:tcPr>
          <w:p w14:paraId="7AA38B8B"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c>
          <w:tcPr>
            <w:tcW w:w="284" w:type="dxa"/>
            <w:tcBorders>
              <w:left w:val="nil"/>
              <w:bottom w:val="nil"/>
              <w:right w:val="nil"/>
            </w:tcBorders>
            <w:shd w:val="clear" w:color="auto" w:fill="auto"/>
            <w:noWrap/>
            <w:vAlign w:val="center"/>
          </w:tcPr>
          <w:p w14:paraId="6F2D40D0" w14:textId="77777777" w:rsidR="00E818F7" w:rsidRPr="001116C5" w:rsidRDefault="00E818F7" w:rsidP="0086616B">
            <w:pPr>
              <w:jc w:val="right"/>
              <w:rPr>
                <w:rFonts w:asciiTheme="minorHAnsi" w:hAnsiTheme="minorHAnsi" w:cstheme="minorHAnsi"/>
                <w:color w:val="000000"/>
                <w:szCs w:val="22"/>
              </w:rPr>
            </w:pPr>
          </w:p>
        </w:tc>
        <w:tc>
          <w:tcPr>
            <w:tcW w:w="992" w:type="dxa"/>
            <w:tcBorders>
              <w:left w:val="nil"/>
              <w:bottom w:val="single" w:sz="12" w:space="0" w:color="auto"/>
              <w:right w:val="nil"/>
            </w:tcBorders>
            <w:shd w:val="clear" w:color="auto" w:fill="auto"/>
            <w:noWrap/>
            <w:vAlign w:val="center"/>
          </w:tcPr>
          <w:p w14:paraId="361C6C5D" w14:textId="77777777" w:rsidR="00E818F7" w:rsidRPr="001116C5" w:rsidRDefault="00E818F7" w:rsidP="0086616B">
            <w:pPr>
              <w:jc w:val="right"/>
              <w:rPr>
                <w:rFonts w:asciiTheme="minorHAnsi" w:hAnsiTheme="minorHAnsi" w:cstheme="minorHAnsi"/>
                <w:szCs w:val="22"/>
              </w:rPr>
            </w:pPr>
            <w:r w:rsidRPr="001116C5">
              <w:rPr>
                <w:rFonts w:asciiTheme="minorHAnsi" w:hAnsiTheme="minorHAnsi" w:cstheme="minorHAnsi"/>
                <w:color w:val="000000"/>
                <w:szCs w:val="22"/>
              </w:rPr>
              <w:t>(40)</w:t>
            </w:r>
          </w:p>
        </w:tc>
        <w:tc>
          <w:tcPr>
            <w:tcW w:w="284" w:type="dxa"/>
            <w:tcBorders>
              <w:left w:val="nil"/>
              <w:bottom w:val="nil"/>
              <w:right w:val="nil"/>
            </w:tcBorders>
            <w:shd w:val="clear" w:color="auto" w:fill="auto"/>
            <w:noWrap/>
            <w:vAlign w:val="center"/>
          </w:tcPr>
          <w:p w14:paraId="7B760EE9" w14:textId="77777777" w:rsidR="00E818F7" w:rsidRPr="001116C5" w:rsidRDefault="00E818F7" w:rsidP="0086616B">
            <w:pPr>
              <w:jc w:val="right"/>
              <w:rPr>
                <w:rFonts w:asciiTheme="minorHAnsi" w:hAnsiTheme="minorHAnsi" w:cstheme="minorHAnsi"/>
                <w:szCs w:val="22"/>
              </w:rPr>
            </w:pPr>
          </w:p>
        </w:tc>
        <w:tc>
          <w:tcPr>
            <w:tcW w:w="850" w:type="dxa"/>
            <w:tcBorders>
              <w:left w:val="nil"/>
              <w:bottom w:val="single" w:sz="12" w:space="0" w:color="auto"/>
              <w:right w:val="nil"/>
            </w:tcBorders>
            <w:shd w:val="clear" w:color="auto" w:fill="auto"/>
            <w:noWrap/>
            <w:vAlign w:val="center"/>
          </w:tcPr>
          <w:p w14:paraId="7B270CC2" w14:textId="77777777" w:rsidR="00E818F7" w:rsidRPr="001116C5" w:rsidRDefault="00E818F7" w:rsidP="0086616B">
            <w:pPr>
              <w:jc w:val="right"/>
              <w:rPr>
                <w:rFonts w:asciiTheme="minorHAnsi" w:hAnsiTheme="minorHAnsi" w:cstheme="minorHAnsi"/>
                <w:szCs w:val="22"/>
              </w:rPr>
            </w:pPr>
            <w:r w:rsidRPr="001116C5">
              <w:rPr>
                <w:rFonts w:asciiTheme="minorHAnsi" w:hAnsiTheme="minorHAnsi" w:cstheme="minorHAnsi"/>
                <w:color w:val="000000"/>
                <w:szCs w:val="22"/>
              </w:rPr>
              <w:t>-</w:t>
            </w:r>
          </w:p>
        </w:tc>
      </w:tr>
      <w:tr w:rsidR="00E818F7" w:rsidRPr="001116C5" w14:paraId="6D0C2588" w14:textId="77777777" w:rsidTr="0086616B">
        <w:trPr>
          <w:trHeight w:val="340"/>
        </w:trPr>
        <w:tc>
          <w:tcPr>
            <w:tcW w:w="2977" w:type="dxa"/>
            <w:tcBorders>
              <w:top w:val="nil"/>
              <w:left w:val="nil"/>
              <w:bottom w:val="nil"/>
              <w:right w:val="nil"/>
            </w:tcBorders>
            <w:shd w:val="clear" w:color="auto" w:fill="auto"/>
            <w:noWrap/>
            <w:vAlign w:val="center"/>
            <w:hideMark/>
          </w:tcPr>
          <w:p w14:paraId="2FBCF0B0" w14:textId="77777777" w:rsidR="00E818F7" w:rsidRPr="001116C5" w:rsidRDefault="00E818F7" w:rsidP="0086616B">
            <w:pPr>
              <w:rPr>
                <w:rFonts w:asciiTheme="minorHAnsi" w:hAnsiTheme="minorHAnsi" w:cstheme="minorHAnsi"/>
                <w:b/>
                <w:bCs/>
                <w:color w:val="000000"/>
                <w:szCs w:val="22"/>
                <w:lang w:val="pt-PT"/>
              </w:rPr>
            </w:pPr>
            <w:r w:rsidRPr="001116C5">
              <w:rPr>
                <w:rFonts w:asciiTheme="minorHAnsi" w:hAnsiTheme="minorHAnsi" w:cstheme="minorHAnsi"/>
                <w:b/>
                <w:bCs/>
                <w:color w:val="000000"/>
                <w:szCs w:val="22"/>
                <w:lang w:val="pt-PT"/>
              </w:rPr>
              <w:t>Ukupno ostali nespomenuti materijalni rashodi</w:t>
            </w:r>
          </w:p>
        </w:tc>
        <w:tc>
          <w:tcPr>
            <w:tcW w:w="1134" w:type="dxa"/>
            <w:tcBorders>
              <w:top w:val="nil"/>
              <w:left w:val="nil"/>
              <w:bottom w:val="nil"/>
              <w:right w:val="nil"/>
            </w:tcBorders>
            <w:shd w:val="clear" w:color="auto" w:fill="auto"/>
            <w:noWrap/>
            <w:vAlign w:val="center"/>
            <w:hideMark/>
          </w:tcPr>
          <w:p w14:paraId="7E6A4BBA"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102</w:t>
            </w:r>
          </w:p>
        </w:tc>
        <w:tc>
          <w:tcPr>
            <w:tcW w:w="284" w:type="dxa"/>
            <w:tcBorders>
              <w:top w:val="nil"/>
              <w:left w:val="nil"/>
              <w:bottom w:val="nil"/>
              <w:right w:val="nil"/>
            </w:tcBorders>
            <w:shd w:val="clear" w:color="auto" w:fill="auto"/>
            <w:noWrap/>
            <w:vAlign w:val="center"/>
            <w:hideMark/>
          </w:tcPr>
          <w:p w14:paraId="4EE81CD3" w14:textId="77777777" w:rsidR="00E818F7" w:rsidRPr="001116C5" w:rsidRDefault="00E818F7" w:rsidP="0086616B">
            <w:pPr>
              <w:jc w:val="center"/>
              <w:rPr>
                <w:rFonts w:asciiTheme="minorHAnsi" w:hAnsiTheme="minorHAnsi" w:cstheme="minorHAnsi"/>
                <w:b/>
                <w:bCs/>
                <w:color w:val="000000"/>
                <w:szCs w:val="22"/>
              </w:rPr>
            </w:pPr>
          </w:p>
        </w:tc>
        <w:tc>
          <w:tcPr>
            <w:tcW w:w="1106" w:type="dxa"/>
            <w:tcBorders>
              <w:top w:val="single" w:sz="12" w:space="0" w:color="auto"/>
              <w:left w:val="nil"/>
              <w:bottom w:val="single" w:sz="12" w:space="0" w:color="auto"/>
              <w:right w:val="nil"/>
            </w:tcBorders>
            <w:shd w:val="clear" w:color="auto" w:fill="auto"/>
            <w:noWrap/>
            <w:vAlign w:val="center"/>
          </w:tcPr>
          <w:p w14:paraId="39A6A70A"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2.534</w:t>
            </w:r>
          </w:p>
        </w:tc>
        <w:tc>
          <w:tcPr>
            <w:tcW w:w="283" w:type="dxa"/>
            <w:tcBorders>
              <w:top w:val="nil"/>
              <w:left w:val="nil"/>
              <w:bottom w:val="nil"/>
              <w:right w:val="nil"/>
            </w:tcBorders>
            <w:shd w:val="clear" w:color="auto" w:fill="auto"/>
            <w:noWrap/>
            <w:vAlign w:val="center"/>
          </w:tcPr>
          <w:p w14:paraId="4963030C" w14:textId="77777777" w:rsidR="00E818F7" w:rsidRPr="001116C5" w:rsidRDefault="00E818F7" w:rsidP="0086616B">
            <w:pPr>
              <w:jc w:val="right"/>
              <w:rPr>
                <w:rFonts w:asciiTheme="minorHAnsi" w:hAnsiTheme="minorHAnsi" w:cstheme="minorHAnsi"/>
                <w:b/>
                <w:bCs/>
                <w:color w:val="000000"/>
                <w:szCs w:val="22"/>
              </w:rPr>
            </w:pPr>
          </w:p>
        </w:tc>
        <w:tc>
          <w:tcPr>
            <w:tcW w:w="1020" w:type="dxa"/>
            <w:tcBorders>
              <w:top w:val="single" w:sz="12" w:space="0" w:color="auto"/>
              <w:left w:val="nil"/>
              <w:bottom w:val="single" w:sz="12" w:space="0" w:color="auto"/>
              <w:right w:val="nil"/>
            </w:tcBorders>
            <w:shd w:val="clear" w:color="auto" w:fill="auto"/>
            <w:noWrap/>
            <w:vAlign w:val="center"/>
          </w:tcPr>
          <w:p w14:paraId="7678CA15"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15.895</w:t>
            </w:r>
          </w:p>
        </w:tc>
        <w:tc>
          <w:tcPr>
            <w:tcW w:w="284" w:type="dxa"/>
            <w:tcBorders>
              <w:top w:val="nil"/>
              <w:left w:val="nil"/>
              <w:bottom w:val="nil"/>
              <w:right w:val="nil"/>
            </w:tcBorders>
            <w:shd w:val="clear" w:color="auto" w:fill="auto"/>
            <w:noWrap/>
            <w:vAlign w:val="center"/>
          </w:tcPr>
          <w:p w14:paraId="12ED88F5" w14:textId="77777777" w:rsidR="00E818F7" w:rsidRPr="001116C5" w:rsidRDefault="00E818F7" w:rsidP="0086616B">
            <w:pPr>
              <w:jc w:val="right"/>
              <w:rPr>
                <w:rFonts w:asciiTheme="minorHAnsi" w:hAnsiTheme="minorHAnsi" w:cstheme="minorHAnsi"/>
                <w:b/>
                <w:bCs/>
                <w:color w:val="000000"/>
                <w:szCs w:val="22"/>
              </w:rPr>
            </w:pPr>
          </w:p>
        </w:tc>
        <w:tc>
          <w:tcPr>
            <w:tcW w:w="992" w:type="dxa"/>
            <w:tcBorders>
              <w:top w:val="single" w:sz="12" w:space="0" w:color="auto"/>
              <w:left w:val="nil"/>
              <w:bottom w:val="single" w:sz="12" w:space="0" w:color="auto"/>
              <w:right w:val="nil"/>
            </w:tcBorders>
            <w:shd w:val="clear" w:color="auto" w:fill="auto"/>
            <w:noWrap/>
            <w:vAlign w:val="center"/>
          </w:tcPr>
          <w:p w14:paraId="3DABE643"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13.361</w:t>
            </w:r>
          </w:p>
        </w:tc>
        <w:tc>
          <w:tcPr>
            <w:tcW w:w="284" w:type="dxa"/>
            <w:tcBorders>
              <w:top w:val="nil"/>
              <w:left w:val="nil"/>
              <w:bottom w:val="nil"/>
              <w:right w:val="nil"/>
            </w:tcBorders>
            <w:shd w:val="clear" w:color="auto" w:fill="auto"/>
            <w:noWrap/>
            <w:vAlign w:val="center"/>
          </w:tcPr>
          <w:p w14:paraId="06AD6838" w14:textId="77777777" w:rsidR="00E818F7" w:rsidRPr="001116C5" w:rsidRDefault="00E818F7" w:rsidP="0086616B">
            <w:pPr>
              <w:jc w:val="right"/>
              <w:rPr>
                <w:rFonts w:asciiTheme="minorHAnsi" w:hAnsiTheme="minorHAnsi" w:cstheme="minorHAnsi"/>
                <w:b/>
                <w:bCs/>
                <w:color w:val="000000"/>
                <w:szCs w:val="22"/>
              </w:rPr>
            </w:pPr>
          </w:p>
        </w:tc>
        <w:tc>
          <w:tcPr>
            <w:tcW w:w="850" w:type="dxa"/>
            <w:tcBorders>
              <w:top w:val="single" w:sz="12" w:space="0" w:color="auto"/>
              <w:left w:val="nil"/>
              <w:bottom w:val="single" w:sz="12" w:space="0" w:color="auto"/>
              <w:right w:val="nil"/>
            </w:tcBorders>
            <w:shd w:val="clear" w:color="auto" w:fill="auto"/>
            <w:noWrap/>
            <w:vAlign w:val="center"/>
          </w:tcPr>
          <w:p w14:paraId="4583D195"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627,3</w:t>
            </w:r>
          </w:p>
        </w:tc>
      </w:tr>
      <w:tr w:rsidR="00E818F7" w:rsidRPr="001116C5" w14:paraId="40E07768" w14:textId="77777777" w:rsidTr="0086616B">
        <w:trPr>
          <w:trHeight w:val="340"/>
        </w:trPr>
        <w:tc>
          <w:tcPr>
            <w:tcW w:w="2977" w:type="dxa"/>
            <w:tcBorders>
              <w:top w:val="nil"/>
              <w:left w:val="nil"/>
              <w:bottom w:val="nil"/>
              <w:right w:val="nil"/>
            </w:tcBorders>
            <w:shd w:val="clear" w:color="auto" w:fill="auto"/>
            <w:noWrap/>
            <w:vAlign w:val="center"/>
            <w:hideMark/>
          </w:tcPr>
          <w:p w14:paraId="0608BB89"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w:t>
            </w:r>
          </w:p>
        </w:tc>
        <w:tc>
          <w:tcPr>
            <w:tcW w:w="1134" w:type="dxa"/>
            <w:tcBorders>
              <w:top w:val="nil"/>
              <w:left w:val="nil"/>
              <w:bottom w:val="nil"/>
              <w:right w:val="nil"/>
            </w:tcBorders>
            <w:shd w:val="clear" w:color="auto" w:fill="auto"/>
            <w:noWrap/>
            <w:vAlign w:val="center"/>
            <w:hideMark/>
          </w:tcPr>
          <w:p w14:paraId="180F2441"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AOP 067</w:t>
            </w:r>
          </w:p>
        </w:tc>
        <w:tc>
          <w:tcPr>
            <w:tcW w:w="284" w:type="dxa"/>
            <w:tcBorders>
              <w:top w:val="nil"/>
              <w:left w:val="nil"/>
              <w:bottom w:val="nil"/>
              <w:right w:val="nil"/>
            </w:tcBorders>
            <w:shd w:val="clear" w:color="auto" w:fill="auto"/>
            <w:noWrap/>
            <w:vAlign w:val="center"/>
            <w:hideMark/>
          </w:tcPr>
          <w:p w14:paraId="17EE8EE8" w14:textId="77777777" w:rsidR="00E818F7" w:rsidRPr="001116C5" w:rsidRDefault="00E818F7" w:rsidP="0086616B">
            <w:pPr>
              <w:jc w:val="center"/>
              <w:rPr>
                <w:rFonts w:asciiTheme="minorHAnsi" w:hAnsiTheme="minorHAnsi" w:cstheme="minorHAnsi"/>
                <w:b/>
                <w:bCs/>
                <w:color w:val="000000"/>
                <w:szCs w:val="22"/>
              </w:rPr>
            </w:pPr>
          </w:p>
        </w:tc>
        <w:tc>
          <w:tcPr>
            <w:tcW w:w="1106" w:type="dxa"/>
            <w:tcBorders>
              <w:top w:val="nil"/>
              <w:left w:val="nil"/>
              <w:bottom w:val="single" w:sz="12" w:space="0" w:color="auto"/>
              <w:right w:val="nil"/>
            </w:tcBorders>
            <w:shd w:val="clear" w:color="auto" w:fill="auto"/>
            <w:noWrap/>
            <w:vAlign w:val="center"/>
          </w:tcPr>
          <w:p w14:paraId="35ED2416"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289.286</w:t>
            </w:r>
          </w:p>
        </w:tc>
        <w:tc>
          <w:tcPr>
            <w:tcW w:w="283" w:type="dxa"/>
            <w:tcBorders>
              <w:top w:val="nil"/>
              <w:left w:val="nil"/>
              <w:bottom w:val="nil"/>
              <w:right w:val="nil"/>
            </w:tcBorders>
            <w:shd w:val="clear" w:color="auto" w:fill="auto"/>
            <w:noWrap/>
            <w:vAlign w:val="center"/>
          </w:tcPr>
          <w:p w14:paraId="658E369B" w14:textId="77777777" w:rsidR="00E818F7" w:rsidRPr="001116C5" w:rsidRDefault="00E818F7" w:rsidP="0086616B">
            <w:pPr>
              <w:jc w:val="right"/>
              <w:rPr>
                <w:rFonts w:asciiTheme="minorHAnsi" w:hAnsiTheme="minorHAnsi" w:cstheme="minorHAnsi"/>
                <w:b/>
                <w:bCs/>
                <w:color w:val="000000"/>
                <w:szCs w:val="22"/>
              </w:rPr>
            </w:pPr>
          </w:p>
        </w:tc>
        <w:tc>
          <w:tcPr>
            <w:tcW w:w="1020" w:type="dxa"/>
            <w:tcBorders>
              <w:top w:val="nil"/>
              <w:left w:val="nil"/>
              <w:bottom w:val="single" w:sz="12" w:space="0" w:color="auto"/>
              <w:right w:val="nil"/>
            </w:tcBorders>
            <w:shd w:val="clear" w:color="auto" w:fill="auto"/>
            <w:noWrap/>
            <w:vAlign w:val="center"/>
          </w:tcPr>
          <w:p w14:paraId="1BD1D79D"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747.048</w:t>
            </w:r>
          </w:p>
        </w:tc>
        <w:tc>
          <w:tcPr>
            <w:tcW w:w="284" w:type="dxa"/>
            <w:tcBorders>
              <w:top w:val="nil"/>
              <w:left w:val="nil"/>
              <w:bottom w:val="nil"/>
              <w:right w:val="nil"/>
            </w:tcBorders>
            <w:shd w:val="clear" w:color="auto" w:fill="auto"/>
            <w:noWrap/>
            <w:vAlign w:val="center"/>
          </w:tcPr>
          <w:p w14:paraId="5C496CD0" w14:textId="77777777" w:rsidR="00E818F7" w:rsidRPr="001116C5" w:rsidRDefault="00E818F7" w:rsidP="0086616B">
            <w:pPr>
              <w:jc w:val="right"/>
              <w:rPr>
                <w:rFonts w:asciiTheme="minorHAnsi" w:hAnsiTheme="minorHAnsi" w:cstheme="minorHAnsi"/>
                <w:b/>
                <w:bCs/>
                <w:color w:val="000000"/>
                <w:szCs w:val="22"/>
              </w:rPr>
            </w:pPr>
          </w:p>
        </w:tc>
        <w:tc>
          <w:tcPr>
            <w:tcW w:w="992" w:type="dxa"/>
            <w:tcBorders>
              <w:top w:val="nil"/>
              <w:left w:val="nil"/>
              <w:bottom w:val="single" w:sz="12" w:space="0" w:color="auto"/>
              <w:right w:val="nil"/>
            </w:tcBorders>
            <w:shd w:val="clear" w:color="auto" w:fill="auto"/>
            <w:noWrap/>
            <w:vAlign w:val="center"/>
          </w:tcPr>
          <w:p w14:paraId="07E04C0C"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457.762</w:t>
            </w:r>
          </w:p>
        </w:tc>
        <w:tc>
          <w:tcPr>
            <w:tcW w:w="284" w:type="dxa"/>
            <w:tcBorders>
              <w:top w:val="nil"/>
              <w:left w:val="nil"/>
              <w:bottom w:val="nil"/>
              <w:right w:val="nil"/>
            </w:tcBorders>
            <w:shd w:val="clear" w:color="auto" w:fill="auto"/>
            <w:noWrap/>
            <w:vAlign w:val="center"/>
          </w:tcPr>
          <w:p w14:paraId="42D20BBA" w14:textId="77777777" w:rsidR="00E818F7" w:rsidRPr="001116C5" w:rsidRDefault="00E818F7" w:rsidP="0086616B">
            <w:pPr>
              <w:jc w:val="right"/>
              <w:rPr>
                <w:rFonts w:asciiTheme="minorHAnsi" w:hAnsiTheme="minorHAnsi" w:cstheme="minorHAnsi"/>
                <w:b/>
                <w:bCs/>
                <w:color w:val="000000"/>
                <w:szCs w:val="22"/>
              </w:rPr>
            </w:pPr>
          </w:p>
        </w:tc>
        <w:tc>
          <w:tcPr>
            <w:tcW w:w="850" w:type="dxa"/>
            <w:tcBorders>
              <w:top w:val="nil"/>
              <w:left w:val="nil"/>
              <w:bottom w:val="single" w:sz="12" w:space="0" w:color="auto"/>
              <w:right w:val="nil"/>
            </w:tcBorders>
            <w:shd w:val="clear" w:color="auto" w:fill="auto"/>
            <w:noWrap/>
            <w:vAlign w:val="center"/>
          </w:tcPr>
          <w:p w14:paraId="0F18AE39"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258,2</w:t>
            </w:r>
          </w:p>
        </w:tc>
      </w:tr>
    </w:tbl>
    <w:p w14:paraId="1BBB4214"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rPr>
      </w:pPr>
    </w:p>
    <w:p w14:paraId="79E2B13C"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rPr>
      </w:pPr>
      <w:r w:rsidRPr="001116C5">
        <w:rPr>
          <w:rFonts w:asciiTheme="minorHAnsi" w:hAnsiTheme="minorHAnsi" w:cstheme="minorHAnsi"/>
          <w:szCs w:val="22"/>
        </w:rPr>
        <w:t xml:space="preserve">Ukupni materijalni rashodi u 2023. godini iznose </w:t>
      </w:r>
      <w:r w:rsidRPr="001116C5">
        <w:rPr>
          <w:rFonts w:asciiTheme="minorHAnsi" w:hAnsiTheme="minorHAnsi" w:cstheme="minorHAnsi"/>
          <w:bCs/>
          <w:szCs w:val="22"/>
        </w:rPr>
        <w:t>747.048 EUR</w:t>
      </w:r>
      <w:r w:rsidRPr="001116C5">
        <w:rPr>
          <w:rFonts w:asciiTheme="minorHAnsi" w:hAnsiTheme="minorHAnsi" w:cstheme="minorHAnsi"/>
          <w:szCs w:val="22"/>
        </w:rPr>
        <w:t xml:space="preserve"> (2022: </w:t>
      </w:r>
      <w:r w:rsidRPr="001116C5">
        <w:rPr>
          <w:rFonts w:asciiTheme="minorHAnsi" w:hAnsiTheme="minorHAnsi" w:cstheme="minorHAnsi"/>
          <w:bCs/>
          <w:szCs w:val="22"/>
        </w:rPr>
        <w:t>289.286 EUR)</w:t>
      </w:r>
      <w:r w:rsidRPr="001116C5">
        <w:rPr>
          <w:rFonts w:asciiTheme="minorHAnsi" w:hAnsiTheme="minorHAnsi" w:cstheme="minorHAnsi"/>
          <w:szCs w:val="22"/>
        </w:rPr>
        <w:t xml:space="preserve"> i povećali su se za 58,2 % u odnosu na 2022. godinu zbog</w:t>
      </w:r>
      <w:r w:rsidRPr="001116C5">
        <w:rPr>
          <w:rFonts w:asciiTheme="minorHAnsi" w:hAnsiTheme="minorHAnsi" w:cstheme="minorHAnsi"/>
          <w:szCs w:val="22"/>
        </w:rPr>
        <w:softHyphen/>
      </w:r>
      <w:r w:rsidRPr="001116C5">
        <w:rPr>
          <w:rFonts w:asciiTheme="minorHAnsi" w:hAnsiTheme="minorHAnsi" w:cstheme="minorHAnsi"/>
          <w:szCs w:val="22"/>
        </w:rPr>
        <w:softHyphen/>
        <w:t xml:space="preserve"> povećanog obujma aktivnosti. </w:t>
      </w:r>
    </w:p>
    <w:p w14:paraId="08B63EF0"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Centar ima dvogodišnje programe financiranja od strane UNEP-a. Obim aktivnosti i realizacije uvijek su veći u drugoj godini izvršenja programa, a to je 2023. godina. </w:t>
      </w:r>
    </w:p>
    <w:p w14:paraId="529945A4"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p>
    <w:p w14:paraId="5D119738"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szCs w:val="22"/>
          <w:lang w:val="pt-PT"/>
        </w:rPr>
        <w:t>U strukturi ukupnog rashoda ostvarenog u 2023. godini, materijalni rashodi čine 50,7 % ukupnog rashoda (2022: 29,9 %).</w:t>
      </w:r>
    </w:p>
    <w:p w14:paraId="06E315BD"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 </w:t>
      </w:r>
    </w:p>
    <w:p w14:paraId="50C5B7B2"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pt-PT"/>
        </w:rPr>
      </w:pPr>
      <w:r w:rsidRPr="001116C5">
        <w:rPr>
          <w:rFonts w:asciiTheme="minorHAnsi" w:hAnsiTheme="minorHAnsi" w:cstheme="minorHAnsi"/>
          <w:b/>
          <w:i/>
          <w:szCs w:val="22"/>
          <w:lang w:val="pt-PT"/>
        </w:rPr>
        <w:t>5.1.</w:t>
      </w:r>
      <w:r w:rsidRPr="001116C5">
        <w:rPr>
          <w:rFonts w:asciiTheme="minorHAnsi" w:hAnsiTheme="minorHAnsi" w:cstheme="minorHAnsi"/>
          <w:b/>
          <w:i/>
          <w:szCs w:val="22"/>
          <w:lang w:val="pt-PT"/>
        </w:rPr>
        <w:tab/>
        <w:t xml:space="preserve"> AOP  068 Naknade troškova radnicima</w:t>
      </w:r>
    </w:p>
    <w:p w14:paraId="4C24FECE"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pt-PT"/>
        </w:rPr>
      </w:pPr>
    </w:p>
    <w:p w14:paraId="42500831"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b/>
          <w:szCs w:val="22"/>
          <w:lang w:val="pt-PT"/>
        </w:rPr>
        <w:t>AOP 069 Službena putovanja</w:t>
      </w:r>
      <w:r w:rsidRPr="001116C5">
        <w:rPr>
          <w:rFonts w:asciiTheme="minorHAnsi" w:hAnsiTheme="minorHAnsi" w:cstheme="minorHAnsi"/>
          <w:szCs w:val="22"/>
          <w:lang w:val="pt-PT"/>
        </w:rPr>
        <w:t xml:space="preserve"> u iznosu od 13.464 EUR (2022: 6.155 EUR) su se značajno povećala u odnosu na 2022. godinu zbog većeg broja sudjelovanja djelatnika na sastancima koji su organizirani u okviru redovitih aktivnosti Centra.</w:t>
      </w:r>
    </w:p>
    <w:p w14:paraId="615A84FF" w14:textId="185773A8" w:rsidR="00E818F7" w:rsidRPr="001116C5" w:rsidRDefault="00E818F7">
      <w:pPr>
        <w:jc w:val="left"/>
        <w:rPr>
          <w:rFonts w:asciiTheme="minorHAnsi" w:hAnsiTheme="minorHAnsi" w:cstheme="minorHAnsi"/>
          <w:b/>
          <w:i/>
          <w:szCs w:val="22"/>
          <w:lang w:val="pt-PT"/>
        </w:rPr>
      </w:pPr>
    </w:p>
    <w:p w14:paraId="0EAAC3D3" w14:textId="3C6A9ECA"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pt-PT"/>
        </w:rPr>
      </w:pPr>
      <w:r w:rsidRPr="001116C5">
        <w:rPr>
          <w:rFonts w:asciiTheme="minorHAnsi" w:hAnsiTheme="minorHAnsi" w:cstheme="minorHAnsi"/>
          <w:b/>
          <w:i/>
          <w:szCs w:val="22"/>
          <w:lang w:val="pt-PT"/>
        </w:rPr>
        <w:t xml:space="preserve">5.2. </w:t>
      </w:r>
      <w:r w:rsidRPr="001116C5">
        <w:rPr>
          <w:rFonts w:asciiTheme="minorHAnsi" w:hAnsiTheme="minorHAnsi" w:cstheme="minorHAnsi"/>
          <w:b/>
          <w:i/>
          <w:szCs w:val="22"/>
          <w:lang w:val="pt-PT"/>
        </w:rPr>
        <w:tab/>
        <w:t>AOP 082 Naknade ostalim osobama izvan radnog odnosa</w:t>
      </w:r>
      <w:r w:rsidRPr="001116C5">
        <w:rPr>
          <w:rFonts w:asciiTheme="minorHAnsi" w:hAnsiTheme="minorHAnsi" w:cstheme="minorHAnsi"/>
          <w:i/>
          <w:szCs w:val="22"/>
          <w:lang w:val="pt-PT"/>
        </w:rPr>
        <w:t xml:space="preserve"> </w:t>
      </w:r>
    </w:p>
    <w:p w14:paraId="482726BB"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p>
    <w:p w14:paraId="2105ACCD"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b/>
          <w:szCs w:val="22"/>
          <w:lang w:val="pt-PT"/>
        </w:rPr>
        <w:t xml:space="preserve">AOP 083 Naknade za obavljanje aktivnosti </w:t>
      </w:r>
      <w:r w:rsidRPr="001116C5">
        <w:rPr>
          <w:rFonts w:asciiTheme="minorHAnsi" w:hAnsiTheme="minorHAnsi" w:cstheme="minorHAnsi"/>
          <w:szCs w:val="22"/>
          <w:lang w:val="pt-PT"/>
        </w:rPr>
        <w:t xml:space="preserve">u iznosu od </w:t>
      </w:r>
      <w:r w:rsidRPr="001116C5">
        <w:rPr>
          <w:rFonts w:asciiTheme="minorHAnsi" w:hAnsiTheme="minorHAnsi" w:cstheme="minorHAnsi"/>
          <w:color w:val="000000"/>
          <w:szCs w:val="22"/>
          <w:lang w:val="pt-PT"/>
        </w:rPr>
        <w:t>182.222 EUR</w:t>
      </w:r>
      <w:r w:rsidRPr="001116C5">
        <w:rPr>
          <w:rFonts w:asciiTheme="minorHAnsi" w:hAnsiTheme="minorHAnsi" w:cstheme="minorHAnsi"/>
          <w:szCs w:val="22"/>
          <w:lang w:val="pt-PT"/>
        </w:rPr>
        <w:t xml:space="preserve"> (2022: </w:t>
      </w:r>
      <w:r w:rsidRPr="001116C5">
        <w:rPr>
          <w:rFonts w:asciiTheme="minorHAnsi" w:hAnsiTheme="minorHAnsi" w:cstheme="minorHAnsi"/>
          <w:color w:val="000000"/>
          <w:szCs w:val="22"/>
          <w:lang w:val="pt-PT"/>
        </w:rPr>
        <w:t>84.750 EUR</w:t>
      </w:r>
      <w:r w:rsidRPr="001116C5">
        <w:rPr>
          <w:rFonts w:asciiTheme="minorHAnsi" w:hAnsiTheme="minorHAnsi" w:cstheme="minorHAnsi"/>
          <w:szCs w:val="22"/>
          <w:lang w:val="pt-PT"/>
        </w:rPr>
        <w:t xml:space="preserve">) predstavljaju </w:t>
      </w:r>
      <w:r w:rsidRPr="001116C5">
        <w:rPr>
          <w:rFonts w:asciiTheme="minorHAnsi" w:hAnsiTheme="minorHAnsi" w:cstheme="minorHAnsi"/>
          <w:color w:val="000000"/>
          <w:szCs w:val="22"/>
          <w:lang w:val="pt-PT"/>
        </w:rPr>
        <w:t xml:space="preserve">naknade po ugovorima o djelu, autorskim ugovorima i ostalim ugovorima koji su nužni za </w:t>
      </w:r>
      <w:r w:rsidRPr="001116C5">
        <w:rPr>
          <w:rFonts w:asciiTheme="minorHAnsi" w:hAnsiTheme="minorHAnsi" w:cstheme="minorHAnsi"/>
          <w:szCs w:val="22"/>
          <w:lang w:val="pt-PT"/>
        </w:rPr>
        <w:t>provedbu aktivnosti Centra. Navedene naknade povećale su se odnosu na 2022. godinu za 115 %.</w:t>
      </w:r>
    </w:p>
    <w:p w14:paraId="71C2F848"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szCs w:val="22"/>
          <w:lang w:val="pt-PT"/>
        </w:rPr>
        <w:lastRenderedPageBreak/>
        <w:t>Aktivnosti i rokovi izvršenja aktivnosti kao i dinamika dostave ugovorenih rezultata planirani su u većem objumu do kraja 2023. godine nego što je bilo planirano za 2022. godinu</w:t>
      </w:r>
      <w:r w:rsidRPr="001116C5">
        <w:rPr>
          <w:rFonts w:asciiTheme="minorHAnsi" w:hAnsiTheme="minorHAnsi" w:cstheme="minorHAnsi"/>
          <w:color w:val="FF0000"/>
          <w:szCs w:val="22"/>
          <w:lang w:val="pt-PT"/>
        </w:rPr>
        <w:t xml:space="preserve">. </w:t>
      </w:r>
    </w:p>
    <w:p w14:paraId="5FBBCAC1"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color w:val="FF0000"/>
          <w:szCs w:val="22"/>
          <w:lang w:val="pt-PT"/>
        </w:rPr>
      </w:pPr>
    </w:p>
    <w:p w14:paraId="425E3DD5"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b/>
          <w:i/>
          <w:color w:val="000000"/>
          <w:szCs w:val="22"/>
          <w:lang w:val="pt-PT"/>
        </w:rPr>
        <w:t>AOP 084 Naknade troškova službenih putovanja</w:t>
      </w:r>
      <w:r w:rsidRPr="001116C5">
        <w:rPr>
          <w:rFonts w:asciiTheme="minorHAnsi" w:hAnsiTheme="minorHAnsi" w:cstheme="minorHAnsi"/>
          <w:color w:val="000000"/>
          <w:szCs w:val="22"/>
          <w:lang w:val="pt-PT"/>
        </w:rPr>
        <w:t xml:space="preserve"> u iznosu od 54.245 EUR (2022: 6.688 EUR) </w:t>
      </w:r>
      <w:r w:rsidRPr="001116C5">
        <w:rPr>
          <w:rFonts w:asciiTheme="minorHAnsi" w:hAnsiTheme="minorHAnsi" w:cstheme="minorHAnsi"/>
          <w:szCs w:val="22"/>
          <w:lang w:val="pt-PT"/>
        </w:rPr>
        <w:t xml:space="preserve">odnose se na nadoknadu putnih troškova ostalim osobama izvan radnog odnosa. </w:t>
      </w:r>
    </w:p>
    <w:p w14:paraId="3476E78D"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szCs w:val="22"/>
          <w:lang w:val="pt-PT"/>
        </w:rPr>
        <w:t>Naknade ostalim osobama izvan radnog odnosa značajno su se povećale u odnosu na 2022. godinu  zbog sudjelovanja većeg broja ostalih osoba izvan radnog odnosa na sastancima u organizaciji Centra.</w:t>
      </w:r>
    </w:p>
    <w:p w14:paraId="509DD786"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p>
    <w:p w14:paraId="52621E93"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pt-PT"/>
        </w:rPr>
      </w:pPr>
      <w:r w:rsidRPr="001116C5">
        <w:rPr>
          <w:rFonts w:asciiTheme="minorHAnsi" w:hAnsiTheme="minorHAnsi" w:cstheme="minorHAnsi"/>
          <w:b/>
          <w:i/>
          <w:szCs w:val="22"/>
          <w:lang w:val="pt-PT"/>
        </w:rPr>
        <w:t>5.3.</w:t>
      </w:r>
      <w:r w:rsidRPr="001116C5">
        <w:rPr>
          <w:rFonts w:asciiTheme="minorHAnsi" w:hAnsiTheme="minorHAnsi" w:cstheme="minorHAnsi"/>
          <w:b/>
          <w:i/>
          <w:szCs w:val="22"/>
          <w:lang w:val="pt-PT"/>
        </w:rPr>
        <w:tab/>
        <w:t>AOP 087 Rashodi za usluge</w:t>
      </w:r>
    </w:p>
    <w:p w14:paraId="245A7294"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pt-PT"/>
        </w:rPr>
      </w:pPr>
    </w:p>
    <w:p w14:paraId="3CEA5C2D"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FF0000"/>
          <w:szCs w:val="22"/>
          <w:lang w:val="pt-PT"/>
        </w:rPr>
      </w:pPr>
      <w:r w:rsidRPr="001116C5">
        <w:rPr>
          <w:rFonts w:asciiTheme="minorHAnsi" w:hAnsiTheme="minorHAnsi" w:cstheme="minorHAnsi"/>
          <w:b/>
          <w:szCs w:val="22"/>
          <w:lang w:val="pt-PT"/>
        </w:rPr>
        <w:t xml:space="preserve">AOP </w:t>
      </w:r>
      <w:r w:rsidRPr="001116C5">
        <w:rPr>
          <w:rFonts w:asciiTheme="minorHAnsi" w:hAnsiTheme="minorHAnsi" w:cstheme="minorHAnsi"/>
          <w:b/>
          <w:color w:val="000000"/>
          <w:szCs w:val="22"/>
          <w:lang w:val="pt-PT"/>
        </w:rPr>
        <w:t xml:space="preserve">090 Usluge promidžbe i informiranja </w:t>
      </w:r>
      <w:r w:rsidRPr="001116C5">
        <w:rPr>
          <w:rFonts w:asciiTheme="minorHAnsi" w:hAnsiTheme="minorHAnsi" w:cstheme="minorHAnsi"/>
          <w:color w:val="000000"/>
          <w:szCs w:val="22"/>
          <w:lang w:val="pt-PT"/>
        </w:rPr>
        <w:t xml:space="preserve">u iznosu od 68.084 EUR (2022: 19.385 EUR) odnose se na troškove promidžbe i informiranja, koji su se povećali u odnosu na 2022. godinu. </w:t>
      </w:r>
      <w:r w:rsidRPr="001116C5">
        <w:rPr>
          <w:rFonts w:asciiTheme="minorHAnsi" w:hAnsiTheme="minorHAnsi" w:cstheme="minorHAnsi"/>
          <w:szCs w:val="22"/>
          <w:lang w:val="pt-PT"/>
        </w:rPr>
        <w:t>U 2023. godini Centar je promovirao svoj rad kroz izradu promotivnog materijala u većem obujmu nego u 2022. godini da bi se povećala vidljivost projekata i aktivnosti Centra.</w:t>
      </w:r>
    </w:p>
    <w:p w14:paraId="197144BA"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000000"/>
          <w:szCs w:val="22"/>
          <w:lang w:val="pt-PT"/>
        </w:rPr>
      </w:pPr>
    </w:p>
    <w:p w14:paraId="29666578"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b/>
          <w:szCs w:val="22"/>
          <w:lang w:val="pt-PT"/>
        </w:rPr>
        <w:t>AOP 092 Zakupnine i najamnine</w:t>
      </w:r>
      <w:r w:rsidRPr="001116C5">
        <w:rPr>
          <w:rFonts w:asciiTheme="minorHAnsi" w:hAnsiTheme="minorHAnsi" w:cstheme="minorHAnsi"/>
          <w:szCs w:val="22"/>
          <w:lang w:val="pt-PT"/>
        </w:rPr>
        <w:t xml:space="preserve"> u iznosu od 15.600 EUR (2022: 2.548 EUR) povećale su se u odnosu na 2022. zbog održavanja većeg broja sastanaka u odnosu na prošlu godinu za koje je trebalo unajmiti konferencijske sale,  web platforme za održavanje on-line sastanaka kao i dodatni web prostor za potrebe rada Centra.</w:t>
      </w:r>
    </w:p>
    <w:p w14:paraId="584F7486"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pt-PT"/>
        </w:rPr>
      </w:pPr>
    </w:p>
    <w:p w14:paraId="7B3620E7"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FF0000"/>
          <w:szCs w:val="22"/>
          <w:lang w:val="pt-PT"/>
        </w:rPr>
      </w:pPr>
      <w:r w:rsidRPr="001116C5">
        <w:rPr>
          <w:rFonts w:asciiTheme="minorHAnsi" w:hAnsiTheme="minorHAnsi" w:cstheme="minorHAnsi"/>
          <w:b/>
          <w:iCs/>
          <w:szCs w:val="22"/>
          <w:lang w:val="pt-PT"/>
        </w:rPr>
        <w:t>AOP 094 Intelektualne i osobne usluge</w:t>
      </w:r>
      <w:r w:rsidRPr="001116C5">
        <w:rPr>
          <w:rFonts w:asciiTheme="minorHAnsi" w:hAnsiTheme="minorHAnsi" w:cstheme="minorHAnsi"/>
          <w:szCs w:val="22"/>
          <w:lang w:val="pt-PT"/>
        </w:rPr>
        <w:t xml:space="preserve"> u iznosu od 309.194 EUR (2022: 114.403 EUR) odnose se na usluge izrade stručnih studija, lekture, prijevoda, usluge revizije, knjigovodstva, odvjetnika, javnog bilježnika i slično. Navedeni troškovi su se značajno povećali u odnosu na 2022. godinu.</w:t>
      </w:r>
      <w:r w:rsidRPr="001116C5">
        <w:rPr>
          <w:rFonts w:asciiTheme="minorHAnsi" w:hAnsiTheme="minorHAnsi" w:cstheme="minorHAnsi"/>
          <w:color w:val="FF0000"/>
          <w:szCs w:val="22"/>
          <w:lang w:val="pt-PT"/>
        </w:rPr>
        <w:t xml:space="preserve"> </w:t>
      </w:r>
      <w:r w:rsidRPr="001116C5">
        <w:rPr>
          <w:rFonts w:asciiTheme="minorHAnsi" w:hAnsiTheme="minorHAnsi" w:cstheme="minorHAnsi"/>
          <w:szCs w:val="22"/>
          <w:lang w:val="pt-PT"/>
        </w:rPr>
        <w:t>Aktivnosti su ugovorene s rokovima izvršenja i dinamikom dostave ugovorenih rezultata u 2023. godini u većem obujmu nego u 2022. godini. U 2023. godini između ostalog radilo se na projektima: projekt „Promjena pokrova zemljišta“ u okviru projekta GEF MedProgramme Child, "Prekogranični projekt CAMP Otranto", itd.</w:t>
      </w:r>
    </w:p>
    <w:p w14:paraId="66993128"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color w:val="FF0000"/>
          <w:szCs w:val="22"/>
          <w:lang w:val="pt-PT"/>
        </w:rPr>
      </w:pPr>
    </w:p>
    <w:p w14:paraId="1DFFB376"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b/>
          <w:iCs/>
          <w:szCs w:val="22"/>
          <w:lang w:val="pt-PT"/>
        </w:rPr>
        <w:t>AOP 096 Ostale usluge</w:t>
      </w:r>
      <w:r w:rsidRPr="001116C5">
        <w:rPr>
          <w:rFonts w:asciiTheme="minorHAnsi" w:hAnsiTheme="minorHAnsi" w:cstheme="minorHAnsi"/>
          <w:b/>
          <w:szCs w:val="22"/>
          <w:lang w:val="pt-PT"/>
        </w:rPr>
        <w:t xml:space="preserve"> </w:t>
      </w:r>
      <w:r w:rsidRPr="001116C5">
        <w:rPr>
          <w:rFonts w:asciiTheme="minorHAnsi" w:hAnsiTheme="minorHAnsi" w:cstheme="minorHAnsi"/>
          <w:szCs w:val="22"/>
          <w:lang w:val="pt-PT"/>
        </w:rPr>
        <w:t xml:space="preserve">u iznosu od 38.190 EUR (2022: 15.720 EUR) odnose se na usluge kao: usluge tiska, grafičkog dizajna, usluge objave oglasa, usluge zaštitara. Tu spadaju i usluge istraživanja, ispitivanja, </w:t>
      </w:r>
      <w:r w:rsidRPr="001116C5">
        <w:rPr>
          <w:rFonts w:asciiTheme="minorHAnsi" w:hAnsiTheme="minorHAnsi" w:cstheme="minorHAnsi"/>
          <w:szCs w:val="22"/>
          <w:lang w:val="pt-PT"/>
        </w:rPr>
        <w:lastRenderedPageBreak/>
        <w:t>uzorkovanja, testiranja i slično. Navedeni troškovi povećali su se za 142,9  % u odnosu na 2022. zbog povećanih zahtjeva za vidljivost projekata i aktivnosti Centra.</w:t>
      </w:r>
    </w:p>
    <w:p w14:paraId="759466DE" w14:textId="77777777" w:rsidR="00E818F7" w:rsidRPr="001116C5" w:rsidRDefault="00E818F7" w:rsidP="00E818F7">
      <w:pPr>
        <w:pStyle w:val="NoSpacing"/>
        <w:rPr>
          <w:rFonts w:asciiTheme="minorHAnsi" w:hAnsiTheme="minorHAnsi" w:cstheme="minorHAnsi"/>
          <w:sz w:val="22"/>
          <w:szCs w:val="22"/>
        </w:rPr>
      </w:pPr>
    </w:p>
    <w:p w14:paraId="593B4AE8" w14:textId="77777777" w:rsidR="00E818F7" w:rsidRPr="001116C5" w:rsidRDefault="00E818F7" w:rsidP="00E818F7">
      <w:pPr>
        <w:pStyle w:val="NoSpacing"/>
        <w:rPr>
          <w:rFonts w:asciiTheme="minorHAnsi" w:hAnsiTheme="minorHAnsi" w:cstheme="minorHAnsi"/>
          <w:sz w:val="22"/>
          <w:szCs w:val="22"/>
        </w:rPr>
      </w:pPr>
    </w:p>
    <w:p w14:paraId="52B594A6"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i/>
          <w:szCs w:val="22"/>
          <w:lang w:val="hr-HR"/>
        </w:rPr>
      </w:pPr>
      <w:r w:rsidRPr="001116C5">
        <w:rPr>
          <w:rFonts w:asciiTheme="minorHAnsi" w:hAnsiTheme="minorHAnsi" w:cstheme="minorHAnsi"/>
          <w:b/>
          <w:i/>
          <w:szCs w:val="22"/>
          <w:lang w:val="hr-HR"/>
        </w:rPr>
        <w:t xml:space="preserve">5.3. </w:t>
      </w:r>
      <w:r w:rsidRPr="001116C5">
        <w:rPr>
          <w:rFonts w:asciiTheme="minorHAnsi" w:hAnsiTheme="minorHAnsi" w:cstheme="minorHAnsi"/>
          <w:b/>
          <w:i/>
          <w:szCs w:val="22"/>
          <w:lang w:val="hr-HR"/>
        </w:rPr>
        <w:tab/>
        <w:t>AOP 102 Ostali nespomenuti materijalni rashodi</w:t>
      </w:r>
      <w:r w:rsidRPr="001116C5">
        <w:rPr>
          <w:rFonts w:asciiTheme="minorHAnsi" w:hAnsiTheme="minorHAnsi" w:cstheme="minorHAnsi"/>
          <w:i/>
          <w:szCs w:val="22"/>
          <w:lang w:val="hr-HR"/>
        </w:rPr>
        <w:t xml:space="preserve"> </w:t>
      </w:r>
    </w:p>
    <w:p w14:paraId="1B149380" w14:textId="77777777" w:rsidR="00E818F7" w:rsidRPr="001116C5" w:rsidRDefault="00E818F7" w:rsidP="00E818F7">
      <w:pPr>
        <w:pStyle w:val="NoSpacing"/>
        <w:rPr>
          <w:rFonts w:asciiTheme="minorHAnsi" w:hAnsiTheme="minorHAnsi" w:cstheme="minorHAnsi"/>
          <w:b/>
          <w:bCs/>
          <w:i/>
          <w:sz w:val="22"/>
          <w:szCs w:val="22"/>
        </w:rPr>
      </w:pPr>
    </w:p>
    <w:p w14:paraId="7F6B5E40"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Cs/>
          <w:iCs/>
          <w:szCs w:val="22"/>
          <w:lang w:val="hr-HR"/>
        </w:rPr>
      </w:pPr>
      <w:r w:rsidRPr="001116C5">
        <w:rPr>
          <w:rFonts w:asciiTheme="minorHAnsi" w:hAnsiTheme="minorHAnsi" w:cstheme="minorHAnsi"/>
          <w:b/>
          <w:iCs/>
          <w:szCs w:val="22"/>
          <w:lang w:val="hr-HR"/>
        </w:rPr>
        <w:t>AOP 104 Reprezentacija</w:t>
      </w:r>
      <w:r w:rsidRPr="001116C5">
        <w:rPr>
          <w:rFonts w:asciiTheme="minorHAnsi" w:hAnsiTheme="minorHAnsi" w:cstheme="minorHAnsi"/>
          <w:b/>
          <w:i/>
          <w:szCs w:val="22"/>
          <w:lang w:val="hr-HR"/>
        </w:rPr>
        <w:t xml:space="preserve"> </w:t>
      </w:r>
      <w:r w:rsidRPr="001116C5">
        <w:rPr>
          <w:rFonts w:asciiTheme="minorHAnsi" w:hAnsiTheme="minorHAnsi" w:cstheme="minorHAnsi"/>
          <w:bCs/>
          <w:iCs/>
          <w:szCs w:val="22"/>
          <w:lang w:val="hr-HR"/>
        </w:rPr>
        <w:t xml:space="preserve">u iznosu od 15.247 EUR (2022: 1.852 EUR) odnosi se na troškove konzumacije vode, kave, sokova, grickalica na sastancima/radionicama/konferencijama ili troškovima organizacije zajedničkog ručka ili večere za sve sudionike sastanka/radionica/konferencija u sklopu redovitih aktivnosti Centra. U 2023. godini značajno se povećala u odnosu na 2022. godinu zbog povećanog broja organiziranih sastanaka/radionica/konferencija. </w:t>
      </w:r>
    </w:p>
    <w:p w14:paraId="550BCBC3" w14:textId="77777777" w:rsidR="00E818F7" w:rsidRPr="001116C5" w:rsidRDefault="00E818F7" w:rsidP="00E818F7">
      <w:pPr>
        <w:pStyle w:val="NoSpacing"/>
        <w:rPr>
          <w:rFonts w:asciiTheme="minorHAnsi" w:hAnsiTheme="minorHAnsi" w:cstheme="minorHAnsi"/>
          <w:sz w:val="22"/>
          <w:szCs w:val="22"/>
        </w:rPr>
      </w:pPr>
    </w:p>
    <w:p w14:paraId="4094E443" w14:textId="77777777" w:rsidR="00E818F7" w:rsidRPr="001116C5" w:rsidRDefault="00E818F7" w:rsidP="00E818F7">
      <w:pPr>
        <w:pStyle w:val="NoSpacing"/>
        <w:rPr>
          <w:rFonts w:asciiTheme="minorHAnsi" w:hAnsiTheme="minorHAnsi" w:cstheme="minorHAnsi"/>
          <w:sz w:val="22"/>
          <w:szCs w:val="22"/>
        </w:rPr>
      </w:pPr>
    </w:p>
    <w:p w14:paraId="2B05B1D0"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rPr>
      </w:pPr>
      <w:r w:rsidRPr="001116C5">
        <w:rPr>
          <w:rFonts w:asciiTheme="minorHAnsi" w:hAnsiTheme="minorHAnsi" w:cstheme="minorHAnsi"/>
          <w:b/>
          <w:szCs w:val="22"/>
        </w:rPr>
        <w:t xml:space="preserve">6. </w:t>
      </w:r>
      <w:r w:rsidRPr="001116C5">
        <w:rPr>
          <w:rFonts w:asciiTheme="minorHAnsi" w:hAnsiTheme="minorHAnsi" w:cstheme="minorHAnsi"/>
          <w:b/>
          <w:szCs w:val="22"/>
        </w:rPr>
        <w:tab/>
        <w:t>AMORTIZACIJA</w:t>
      </w:r>
    </w:p>
    <w:tbl>
      <w:tblPr>
        <w:tblW w:w="9356" w:type="dxa"/>
        <w:tblInd w:w="108" w:type="dxa"/>
        <w:tblLook w:val="04A0" w:firstRow="1" w:lastRow="0" w:firstColumn="1" w:lastColumn="0" w:noHBand="0" w:noVBand="1"/>
      </w:tblPr>
      <w:tblGrid>
        <w:gridCol w:w="2694"/>
        <w:gridCol w:w="1134"/>
        <w:gridCol w:w="283"/>
        <w:gridCol w:w="1134"/>
        <w:gridCol w:w="284"/>
        <w:gridCol w:w="1134"/>
        <w:gridCol w:w="283"/>
        <w:gridCol w:w="1134"/>
        <w:gridCol w:w="284"/>
        <w:gridCol w:w="992"/>
      </w:tblGrid>
      <w:tr w:rsidR="00E818F7" w:rsidRPr="001116C5" w14:paraId="301C98CA" w14:textId="77777777" w:rsidTr="0086616B">
        <w:trPr>
          <w:trHeight w:val="288"/>
        </w:trPr>
        <w:tc>
          <w:tcPr>
            <w:tcW w:w="2694" w:type="dxa"/>
            <w:tcBorders>
              <w:top w:val="nil"/>
              <w:left w:val="nil"/>
              <w:bottom w:val="nil"/>
              <w:right w:val="nil"/>
            </w:tcBorders>
            <w:shd w:val="clear" w:color="auto" w:fill="auto"/>
            <w:noWrap/>
            <w:vAlign w:val="center"/>
            <w:hideMark/>
          </w:tcPr>
          <w:p w14:paraId="14833961" w14:textId="77777777" w:rsidR="00E818F7" w:rsidRPr="001116C5" w:rsidRDefault="00E818F7" w:rsidP="0086616B">
            <w:pPr>
              <w:rPr>
                <w:rFonts w:asciiTheme="minorHAnsi" w:hAnsiTheme="minorHAnsi" w:cstheme="minorHAnsi"/>
                <w:szCs w:val="22"/>
                <w:lang w:val="en-US"/>
              </w:rPr>
            </w:pPr>
          </w:p>
        </w:tc>
        <w:tc>
          <w:tcPr>
            <w:tcW w:w="1134" w:type="dxa"/>
            <w:tcBorders>
              <w:top w:val="nil"/>
              <w:left w:val="nil"/>
              <w:bottom w:val="nil"/>
              <w:right w:val="nil"/>
            </w:tcBorders>
            <w:shd w:val="clear" w:color="auto" w:fill="auto"/>
            <w:noWrap/>
            <w:vAlign w:val="center"/>
            <w:hideMark/>
          </w:tcPr>
          <w:p w14:paraId="093CF64A" w14:textId="77777777" w:rsidR="00E818F7" w:rsidRPr="001116C5" w:rsidRDefault="00E818F7" w:rsidP="0086616B">
            <w:pPr>
              <w:rPr>
                <w:rFonts w:asciiTheme="minorHAnsi" w:hAnsiTheme="minorHAnsi" w:cstheme="minorHAnsi"/>
                <w:szCs w:val="22"/>
              </w:rPr>
            </w:pPr>
          </w:p>
        </w:tc>
        <w:tc>
          <w:tcPr>
            <w:tcW w:w="283" w:type="dxa"/>
            <w:tcBorders>
              <w:top w:val="nil"/>
              <w:left w:val="nil"/>
              <w:bottom w:val="nil"/>
              <w:right w:val="nil"/>
            </w:tcBorders>
            <w:shd w:val="clear" w:color="auto" w:fill="auto"/>
            <w:noWrap/>
            <w:vAlign w:val="center"/>
            <w:hideMark/>
          </w:tcPr>
          <w:p w14:paraId="02C12344" w14:textId="77777777" w:rsidR="00E818F7" w:rsidRPr="001116C5" w:rsidRDefault="00E818F7" w:rsidP="0086616B">
            <w:pPr>
              <w:rPr>
                <w:rFonts w:asciiTheme="minorHAnsi" w:hAnsiTheme="minorHAnsi" w:cstheme="minorHAnsi"/>
                <w:szCs w:val="22"/>
              </w:rPr>
            </w:pPr>
          </w:p>
        </w:tc>
        <w:tc>
          <w:tcPr>
            <w:tcW w:w="1134" w:type="dxa"/>
            <w:tcBorders>
              <w:top w:val="nil"/>
              <w:left w:val="nil"/>
              <w:bottom w:val="single" w:sz="12" w:space="0" w:color="auto"/>
              <w:right w:val="nil"/>
            </w:tcBorders>
            <w:shd w:val="clear" w:color="auto" w:fill="auto"/>
            <w:noWrap/>
            <w:vAlign w:val="center"/>
          </w:tcPr>
          <w:p w14:paraId="4672ABE3"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2022.</w:t>
            </w:r>
          </w:p>
        </w:tc>
        <w:tc>
          <w:tcPr>
            <w:tcW w:w="284" w:type="dxa"/>
            <w:tcBorders>
              <w:top w:val="nil"/>
              <w:left w:val="nil"/>
              <w:bottom w:val="nil"/>
              <w:right w:val="nil"/>
            </w:tcBorders>
            <w:shd w:val="clear" w:color="auto" w:fill="auto"/>
            <w:noWrap/>
            <w:vAlign w:val="center"/>
          </w:tcPr>
          <w:p w14:paraId="3839088C" w14:textId="77777777" w:rsidR="00E818F7" w:rsidRPr="001116C5" w:rsidRDefault="00E818F7" w:rsidP="0086616B">
            <w:pPr>
              <w:jc w:val="center"/>
              <w:rPr>
                <w:rFonts w:asciiTheme="minorHAnsi" w:hAnsiTheme="minorHAnsi" w:cstheme="minorHAnsi"/>
                <w:b/>
                <w:bCs/>
                <w:color w:val="000000"/>
                <w:szCs w:val="22"/>
              </w:rPr>
            </w:pPr>
          </w:p>
        </w:tc>
        <w:tc>
          <w:tcPr>
            <w:tcW w:w="1134" w:type="dxa"/>
            <w:tcBorders>
              <w:top w:val="nil"/>
              <w:left w:val="nil"/>
              <w:bottom w:val="single" w:sz="12" w:space="0" w:color="auto"/>
              <w:right w:val="nil"/>
            </w:tcBorders>
            <w:shd w:val="clear" w:color="auto" w:fill="auto"/>
            <w:noWrap/>
            <w:vAlign w:val="center"/>
          </w:tcPr>
          <w:p w14:paraId="7F09AE9C"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2023.</w:t>
            </w:r>
          </w:p>
        </w:tc>
        <w:tc>
          <w:tcPr>
            <w:tcW w:w="283" w:type="dxa"/>
            <w:tcBorders>
              <w:top w:val="nil"/>
              <w:left w:val="nil"/>
              <w:bottom w:val="nil"/>
              <w:right w:val="nil"/>
            </w:tcBorders>
            <w:shd w:val="clear" w:color="auto" w:fill="auto"/>
            <w:noWrap/>
            <w:vAlign w:val="center"/>
          </w:tcPr>
          <w:p w14:paraId="317C8904" w14:textId="77777777" w:rsidR="00E818F7" w:rsidRPr="001116C5" w:rsidRDefault="00E818F7" w:rsidP="0086616B">
            <w:pPr>
              <w:jc w:val="center"/>
              <w:rPr>
                <w:rFonts w:asciiTheme="minorHAnsi" w:hAnsiTheme="minorHAnsi" w:cstheme="minorHAnsi"/>
                <w:b/>
                <w:bCs/>
                <w:color w:val="000000"/>
                <w:szCs w:val="22"/>
              </w:rPr>
            </w:pPr>
          </w:p>
        </w:tc>
        <w:tc>
          <w:tcPr>
            <w:tcW w:w="1134" w:type="dxa"/>
            <w:tcBorders>
              <w:top w:val="nil"/>
              <w:left w:val="nil"/>
              <w:bottom w:val="single" w:sz="12" w:space="0" w:color="auto"/>
              <w:right w:val="nil"/>
            </w:tcBorders>
            <w:shd w:val="clear" w:color="auto" w:fill="auto"/>
            <w:noWrap/>
            <w:vAlign w:val="center"/>
          </w:tcPr>
          <w:p w14:paraId="11A11920"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Razlika</w:t>
            </w:r>
          </w:p>
        </w:tc>
        <w:tc>
          <w:tcPr>
            <w:tcW w:w="284" w:type="dxa"/>
            <w:tcBorders>
              <w:top w:val="nil"/>
              <w:left w:val="nil"/>
              <w:bottom w:val="nil"/>
              <w:right w:val="nil"/>
            </w:tcBorders>
            <w:shd w:val="clear" w:color="auto" w:fill="auto"/>
            <w:noWrap/>
            <w:vAlign w:val="center"/>
          </w:tcPr>
          <w:p w14:paraId="6C4D9CB7" w14:textId="77777777" w:rsidR="00E818F7" w:rsidRPr="001116C5" w:rsidRDefault="00E818F7" w:rsidP="0086616B">
            <w:pPr>
              <w:jc w:val="center"/>
              <w:rPr>
                <w:rFonts w:asciiTheme="minorHAnsi" w:hAnsiTheme="minorHAnsi" w:cstheme="minorHAnsi"/>
                <w:b/>
                <w:bCs/>
                <w:color w:val="000000"/>
                <w:szCs w:val="22"/>
              </w:rPr>
            </w:pPr>
          </w:p>
        </w:tc>
        <w:tc>
          <w:tcPr>
            <w:tcW w:w="992" w:type="dxa"/>
            <w:tcBorders>
              <w:top w:val="nil"/>
              <w:left w:val="nil"/>
              <w:bottom w:val="single" w:sz="12" w:space="0" w:color="auto"/>
              <w:right w:val="nil"/>
            </w:tcBorders>
            <w:shd w:val="clear" w:color="auto" w:fill="auto"/>
            <w:noWrap/>
            <w:vAlign w:val="center"/>
          </w:tcPr>
          <w:p w14:paraId="78820C3E"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Index</w:t>
            </w:r>
          </w:p>
        </w:tc>
      </w:tr>
      <w:tr w:rsidR="00E818F7" w:rsidRPr="001116C5" w14:paraId="0121BE1A" w14:textId="77777777" w:rsidTr="0086616B">
        <w:trPr>
          <w:trHeight w:val="276"/>
        </w:trPr>
        <w:tc>
          <w:tcPr>
            <w:tcW w:w="2694" w:type="dxa"/>
            <w:tcBorders>
              <w:top w:val="nil"/>
              <w:left w:val="nil"/>
              <w:bottom w:val="nil"/>
              <w:right w:val="nil"/>
            </w:tcBorders>
            <w:shd w:val="clear" w:color="auto" w:fill="auto"/>
            <w:vAlign w:val="center"/>
            <w:hideMark/>
          </w:tcPr>
          <w:p w14:paraId="541E575F"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Amortizacija</w:t>
            </w:r>
          </w:p>
        </w:tc>
        <w:tc>
          <w:tcPr>
            <w:tcW w:w="1134" w:type="dxa"/>
            <w:tcBorders>
              <w:top w:val="nil"/>
              <w:left w:val="nil"/>
              <w:bottom w:val="nil"/>
              <w:right w:val="nil"/>
            </w:tcBorders>
            <w:shd w:val="clear" w:color="auto" w:fill="auto"/>
            <w:vAlign w:val="center"/>
            <w:hideMark/>
          </w:tcPr>
          <w:p w14:paraId="2B0AB71F"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AOP 108</w:t>
            </w:r>
          </w:p>
        </w:tc>
        <w:tc>
          <w:tcPr>
            <w:tcW w:w="283" w:type="dxa"/>
            <w:tcBorders>
              <w:top w:val="nil"/>
              <w:left w:val="nil"/>
              <w:bottom w:val="nil"/>
              <w:right w:val="nil"/>
            </w:tcBorders>
            <w:shd w:val="clear" w:color="auto" w:fill="auto"/>
            <w:vAlign w:val="center"/>
            <w:hideMark/>
          </w:tcPr>
          <w:p w14:paraId="551FF168" w14:textId="77777777" w:rsidR="00E818F7" w:rsidRPr="001116C5" w:rsidRDefault="00E818F7" w:rsidP="0086616B">
            <w:pPr>
              <w:rPr>
                <w:rFonts w:asciiTheme="minorHAnsi" w:hAnsiTheme="minorHAnsi" w:cstheme="minorHAnsi"/>
                <w:color w:val="000000"/>
                <w:szCs w:val="22"/>
              </w:rPr>
            </w:pPr>
          </w:p>
        </w:tc>
        <w:tc>
          <w:tcPr>
            <w:tcW w:w="1134" w:type="dxa"/>
            <w:tcBorders>
              <w:top w:val="nil"/>
              <w:left w:val="nil"/>
              <w:bottom w:val="single" w:sz="12" w:space="0" w:color="auto"/>
              <w:right w:val="nil"/>
            </w:tcBorders>
            <w:shd w:val="clear" w:color="auto" w:fill="auto"/>
            <w:vAlign w:val="center"/>
          </w:tcPr>
          <w:p w14:paraId="457D181E"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15.805</w:t>
            </w:r>
          </w:p>
        </w:tc>
        <w:tc>
          <w:tcPr>
            <w:tcW w:w="284" w:type="dxa"/>
            <w:tcBorders>
              <w:top w:val="nil"/>
              <w:left w:val="nil"/>
              <w:bottom w:val="nil"/>
              <w:right w:val="nil"/>
            </w:tcBorders>
            <w:shd w:val="clear" w:color="auto" w:fill="auto"/>
            <w:vAlign w:val="center"/>
          </w:tcPr>
          <w:p w14:paraId="6B1321F8"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single" w:sz="12" w:space="0" w:color="auto"/>
              <w:right w:val="nil"/>
            </w:tcBorders>
            <w:shd w:val="clear" w:color="auto" w:fill="auto"/>
            <w:vAlign w:val="center"/>
          </w:tcPr>
          <w:p w14:paraId="580B169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14.485</w:t>
            </w:r>
          </w:p>
        </w:tc>
        <w:tc>
          <w:tcPr>
            <w:tcW w:w="283" w:type="dxa"/>
            <w:tcBorders>
              <w:top w:val="nil"/>
              <w:left w:val="nil"/>
              <w:bottom w:val="nil"/>
              <w:right w:val="nil"/>
            </w:tcBorders>
            <w:shd w:val="clear" w:color="auto" w:fill="auto"/>
            <w:vAlign w:val="center"/>
          </w:tcPr>
          <w:p w14:paraId="3C6E5D1F"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single" w:sz="12" w:space="0" w:color="auto"/>
              <w:right w:val="nil"/>
            </w:tcBorders>
            <w:shd w:val="clear" w:color="auto" w:fill="auto"/>
            <w:vAlign w:val="center"/>
          </w:tcPr>
          <w:p w14:paraId="70F745E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(1.320)</w:t>
            </w:r>
          </w:p>
        </w:tc>
        <w:tc>
          <w:tcPr>
            <w:tcW w:w="284" w:type="dxa"/>
            <w:tcBorders>
              <w:top w:val="nil"/>
              <w:left w:val="nil"/>
              <w:bottom w:val="nil"/>
              <w:right w:val="nil"/>
            </w:tcBorders>
            <w:shd w:val="clear" w:color="auto" w:fill="auto"/>
            <w:vAlign w:val="center"/>
          </w:tcPr>
          <w:p w14:paraId="594282DE"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single" w:sz="12" w:space="0" w:color="auto"/>
              <w:right w:val="nil"/>
            </w:tcBorders>
            <w:shd w:val="clear" w:color="auto" w:fill="auto"/>
            <w:vAlign w:val="center"/>
          </w:tcPr>
          <w:p w14:paraId="67A35C88"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0,9</w:t>
            </w:r>
          </w:p>
        </w:tc>
      </w:tr>
      <w:tr w:rsidR="00E818F7" w:rsidRPr="001116C5" w14:paraId="6B94F299" w14:textId="77777777" w:rsidTr="0086616B">
        <w:trPr>
          <w:trHeight w:val="288"/>
        </w:trPr>
        <w:tc>
          <w:tcPr>
            <w:tcW w:w="2694" w:type="dxa"/>
            <w:tcBorders>
              <w:top w:val="nil"/>
              <w:left w:val="nil"/>
              <w:bottom w:val="nil"/>
              <w:right w:val="nil"/>
            </w:tcBorders>
            <w:shd w:val="clear" w:color="auto" w:fill="auto"/>
            <w:noWrap/>
            <w:vAlign w:val="center"/>
            <w:hideMark/>
          </w:tcPr>
          <w:p w14:paraId="0686A61E" w14:textId="77777777" w:rsidR="00E818F7" w:rsidRPr="001116C5" w:rsidRDefault="00E818F7" w:rsidP="0086616B">
            <w:pPr>
              <w:rPr>
                <w:rFonts w:asciiTheme="minorHAnsi" w:hAnsiTheme="minorHAnsi" w:cstheme="minorHAnsi"/>
                <w:b/>
                <w:bCs/>
                <w:color w:val="000000"/>
                <w:szCs w:val="22"/>
                <w:lang w:val="en-US"/>
              </w:rPr>
            </w:pPr>
            <w:r w:rsidRPr="001116C5">
              <w:rPr>
                <w:rFonts w:asciiTheme="minorHAnsi" w:hAnsiTheme="minorHAnsi" w:cstheme="minorHAnsi"/>
                <w:b/>
                <w:bCs/>
                <w:color w:val="000000"/>
                <w:szCs w:val="22"/>
                <w:lang w:val="en-US"/>
              </w:rPr>
              <w:t>Ukupno</w:t>
            </w:r>
          </w:p>
        </w:tc>
        <w:tc>
          <w:tcPr>
            <w:tcW w:w="1134" w:type="dxa"/>
            <w:tcBorders>
              <w:top w:val="nil"/>
              <w:left w:val="nil"/>
              <w:bottom w:val="nil"/>
              <w:right w:val="nil"/>
            </w:tcBorders>
            <w:shd w:val="clear" w:color="auto" w:fill="auto"/>
            <w:vAlign w:val="center"/>
            <w:hideMark/>
          </w:tcPr>
          <w:p w14:paraId="769F88FD"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AOP 108</w:t>
            </w:r>
          </w:p>
        </w:tc>
        <w:tc>
          <w:tcPr>
            <w:tcW w:w="283" w:type="dxa"/>
            <w:tcBorders>
              <w:top w:val="nil"/>
              <w:left w:val="nil"/>
              <w:bottom w:val="nil"/>
              <w:right w:val="nil"/>
            </w:tcBorders>
            <w:shd w:val="clear" w:color="auto" w:fill="auto"/>
            <w:vAlign w:val="center"/>
            <w:hideMark/>
          </w:tcPr>
          <w:p w14:paraId="6157512B" w14:textId="77777777" w:rsidR="00E818F7" w:rsidRPr="001116C5" w:rsidRDefault="00E818F7" w:rsidP="0086616B">
            <w:pPr>
              <w:rPr>
                <w:rFonts w:asciiTheme="minorHAnsi" w:hAnsiTheme="minorHAnsi" w:cstheme="minorHAnsi"/>
                <w:b/>
                <w:bCs/>
                <w:color w:val="000000"/>
                <w:szCs w:val="22"/>
              </w:rPr>
            </w:pPr>
          </w:p>
        </w:tc>
        <w:tc>
          <w:tcPr>
            <w:tcW w:w="1134" w:type="dxa"/>
            <w:tcBorders>
              <w:top w:val="single" w:sz="12" w:space="0" w:color="auto"/>
              <w:left w:val="nil"/>
              <w:bottom w:val="single" w:sz="12" w:space="0" w:color="auto"/>
              <w:right w:val="nil"/>
            </w:tcBorders>
            <w:shd w:val="clear" w:color="auto" w:fill="auto"/>
            <w:noWrap/>
            <w:vAlign w:val="center"/>
          </w:tcPr>
          <w:p w14:paraId="6DD1D7ED"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15.805</w:t>
            </w:r>
          </w:p>
        </w:tc>
        <w:tc>
          <w:tcPr>
            <w:tcW w:w="284" w:type="dxa"/>
            <w:tcBorders>
              <w:top w:val="nil"/>
              <w:left w:val="nil"/>
              <w:bottom w:val="nil"/>
              <w:right w:val="nil"/>
            </w:tcBorders>
            <w:shd w:val="clear" w:color="auto" w:fill="auto"/>
            <w:noWrap/>
            <w:vAlign w:val="center"/>
          </w:tcPr>
          <w:p w14:paraId="2655A239" w14:textId="77777777" w:rsidR="00E818F7" w:rsidRPr="001116C5" w:rsidRDefault="00E818F7" w:rsidP="0086616B">
            <w:pPr>
              <w:jc w:val="right"/>
              <w:rPr>
                <w:rFonts w:asciiTheme="minorHAnsi" w:hAnsiTheme="minorHAnsi" w:cstheme="minorHAnsi"/>
                <w:b/>
                <w:bCs/>
                <w:color w:val="000000"/>
                <w:szCs w:val="22"/>
              </w:rPr>
            </w:pPr>
          </w:p>
        </w:tc>
        <w:tc>
          <w:tcPr>
            <w:tcW w:w="1134" w:type="dxa"/>
            <w:tcBorders>
              <w:top w:val="single" w:sz="12" w:space="0" w:color="auto"/>
              <w:left w:val="nil"/>
              <w:bottom w:val="single" w:sz="12" w:space="0" w:color="auto"/>
              <w:right w:val="nil"/>
            </w:tcBorders>
            <w:shd w:val="clear" w:color="auto" w:fill="auto"/>
            <w:noWrap/>
            <w:vAlign w:val="center"/>
          </w:tcPr>
          <w:p w14:paraId="3E3D39C0"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14.485</w:t>
            </w:r>
          </w:p>
        </w:tc>
        <w:tc>
          <w:tcPr>
            <w:tcW w:w="283" w:type="dxa"/>
            <w:tcBorders>
              <w:top w:val="nil"/>
              <w:left w:val="nil"/>
              <w:bottom w:val="nil"/>
              <w:right w:val="nil"/>
            </w:tcBorders>
            <w:shd w:val="clear" w:color="auto" w:fill="auto"/>
            <w:noWrap/>
            <w:vAlign w:val="center"/>
          </w:tcPr>
          <w:p w14:paraId="4DDD5ACF" w14:textId="77777777" w:rsidR="00E818F7" w:rsidRPr="001116C5" w:rsidRDefault="00E818F7" w:rsidP="0086616B">
            <w:pPr>
              <w:jc w:val="right"/>
              <w:rPr>
                <w:rFonts w:asciiTheme="minorHAnsi" w:hAnsiTheme="minorHAnsi" w:cstheme="minorHAnsi"/>
                <w:b/>
                <w:bCs/>
                <w:color w:val="000000"/>
                <w:szCs w:val="22"/>
              </w:rPr>
            </w:pPr>
          </w:p>
        </w:tc>
        <w:tc>
          <w:tcPr>
            <w:tcW w:w="1134" w:type="dxa"/>
            <w:tcBorders>
              <w:top w:val="single" w:sz="12" w:space="0" w:color="auto"/>
              <w:left w:val="nil"/>
              <w:bottom w:val="single" w:sz="12" w:space="0" w:color="auto"/>
              <w:right w:val="nil"/>
            </w:tcBorders>
            <w:shd w:val="clear" w:color="auto" w:fill="auto"/>
            <w:noWrap/>
            <w:vAlign w:val="center"/>
          </w:tcPr>
          <w:p w14:paraId="3FF18BCB"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(1.320)</w:t>
            </w:r>
          </w:p>
        </w:tc>
        <w:tc>
          <w:tcPr>
            <w:tcW w:w="284" w:type="dxa"/>
            <w:tcBorders>
              <w:top w:val="nil"/>
              <w:left w:val="nil"/>
              <w:bottom w:val="nil"/>
              <w:right w:val="nil"/>
            </w:tcBorders>
            <w:shd w:val="clear" w:color="auto" w:fill="auto"/>
            <w:noWrap/>
            <w:vAlign w:val="center"/>
          </w:tcPr>
          <w:p w14:paraId="308CC75C" w14:textId="77777777" w:rsidR="00E818F7" w:rsidRPr="001116C5" w:rsidRDefault="00E818F7" w:rsidP="0086616B">
            <w:pPr>
              <w:jc w:val="right"/>
              <w:rPr>
                <w:rFonts w:asciiTheme="minorHAnsi" w:hAnsiTheme="minorHAnsi" w:cstheme="minorHAnsi"/>
                <w:b/>
                <w:bCs/>
                <w:color w:val="000000"/>
                <w:szCs w:val="22"/>
              </w:rPr>
            </w:pPr>
          </w:p>
        </w:tc>
        <w:tc>
          <w:tcPr>
            <w:tcW w:w="992" w:type="dxa"/>
            <w:tcBorders>
              <w:top w:val="single" w:sz="12" w:space="0" w:color="auto"/>
              <w:left w:val="nil"/>
              <w:bottom w:val="single" w:sz="12" w:space="0" w:color="auto"/>
              <w:right w:val="nil"/>
            </w:tcBorders>
            <w:shd w:val="clear" w:color="auto" w:fill="auto"/>
            <w:noWrap/>
            <w:vAlign w:val="center"/>
          </w:tcPr>
          <w:p w14:paraId="23C8DB62"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0,9</w:t>
            </w:r>
          </w:p>
        </w:tc>
      </w:tr>
    </w:tbl>
    <w:p w14:paraId="4C2BDA08"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color w:val="000000"/>
          <w:szCs w:val="22"/>
        </w:rPr>
      </w:pPr>
    </w:p>
    <w:p w14:paraId="495847E3"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rPr>
      </w:pPr>
      <w:r w:rsidRPr="001116C5">
        <w:rPr>
          <w:rFonts w:asciiTheme="minorHAnsi" w:hAnsiTheme="minorHAnsi" w:cstheme="minorHAnsi"/>
          <w:szCs w:val="22"/>
        </w:rPr>
        <w:t>Za materijalnu imovinu obračunata je amortizacija u ukupnom iznosu od 14.485 EUR (2022: 15.805 EUR) kuna) prema stopama propisanim Pravilnikom.</w:t>
      </w:r>
    </w:p>
    <w:p w14:paraId="5ACAA748"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rPr>
      </w:pPr>
    </w:p>
    <w:p w14:paraId="2B804A80"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rPr>
      </w:pPr>
      <w:r w:rsidRPr="001116C5">
        <w:rPr>
          <w:rFonts w:asciiTheme="minorHAnsi" w:hAnsiTheme="minorHAnsi" w:cstheme="minorHAnsi"/>
          <w:b/>
          <w:szCs w:val="22"/>
        </w:rPr>
        <w:t xml:space="preserve">7. </w:t>
      </w:r>
      <w:r w:rsidRPr="001116C5">
        <w:rPr>
          <w:rFonts w:asciiTheme="minorHAnsi" w:hAnsiTheme="minorHAnsi" w:cstheme="minorHAnsi"/>
          <w:b/>
          <w:szCs w:val="22"/>
        </w:rPr>
        <w:tab/>
        <w:t>DONACIJE</w:t>
      </w:r>
    </w:p>
    <w:p w14:paraId="73B6E611"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rPr>
      </w:pPr>
    </w:p>
    <w:tbl>
      <w:tblPr>
        <w:tblW w:w="4888" w:type="pct"/>
        <w:tblInd w:w="108" w:type="dxa"/>
        <w:tblLook w:val="04A0" w:firstRow="1" w:lastRow="0" w:firstColumn="1" w:lastColumn="0" w:noHBand="0" w:noVBand="1"/>
      </w:tblPr>
      <w:tblGrid>
        <w:gridCol w:w="2635"/>
        <w:gridCol w:w="1107"/>
        <w:gridCol w:w="278"/>
        <w:gridCol w:w="1107"/>
        <w:gridCol w:w="280"/>
        <w:gridCol w:w="1107"/>
        <w:gridCol w:w="278"/>
        <w:gridCol w:w="1107"/>
        <w:gridCol w:w="278"/>
        <w:gridCol w:w="969"/>
      </w:tblGrid>
      <w:tr w:rsidR="00E818F7" w:rsidRPr="001116C5" w14:paraId="69C2E878" w14:textId="77777777" w:rsidTr="0086616B">
        <w:trPr>
          <w:trHeight w:val="300"/>
        </w:trPr>
        <w:tc>
          <w:tcPr>
            <w:tcW w:w="1440" w:type="pct"/>
            <w:tcBorders>
              <w:top w:val="nil"/>
              <w:left w:val="nil"/>
              <w:bottom w:val="nil"/>
              <w:right w:val="nil"/>
            </w:tcBorders>
            <w:shd w:val="clear" w:color="auto" w:fill="auto"/>
            <w:noWrap/>
            <w:vAlign w:val="center"/>
            <w:hideMark/>
          </w:tcPr>
          <w:p w14:paraId="4AA504A6" w14:textId="77777777" w:rsidR="00E818F7" w:rsidRPr="001116C5" w:rsidRDefault="00E818F7" w:rsidP="0086616B">
            <w:pPr>
              <w:rPr>
                <w:rFonts w:asciiTheme="minorHAnsi" w:hAnsiTheme="minorHAnsi" w:cstheme="minorHAnsi"/>
                <w:szCs w:val="22"/>
              </w:rPr>
            </w:pPr>
          </w:p>
        </w:tc>
        <w:tc>
          <w:tcPr>
            <w:tcW w:w="605" w:type="pct"/>
            <w:tcBorders>
              <w:top w:val="nil"/>
              <w:left w:val="nil"/>
              <w:bottom w:val="nil"/>
              <w:right w:val="nil"/>
            </w:tcBorders>
            <w:shd w:val="clear" w:color="auto" w:fill="auto"/>
            <w:noWrap/>
            <w:vAlign w:val="center"/>
            <w:hideMark/>
          </w:tcPr>
          <w:p w14:paraId="37B0327E" w14:textId="77777777" w:rsidR="00E818F7" w:rsidRPr="001116C5" w:rsidRDefault="00E818F7" w:rsidP="0086616B">
            <w:pPr>
              <w:rPr>
                <w:rFonts w:asciiTheme="minorHAnsi" w:hAnsiTheme="minorHAnsi" w:cstheme="minorHAnsi"/>
                <w:szCs w:val="22"/>
              </w:rPr>
            </w:pPr>
          </w:p>
        </w:tc>
        <w:tc>
          <w:tcPr>
            <w:tcW w:w="152" w:type="pct"/>
            <w:tcBorders>
              <w:top w:val="nil"/>
              <w:left w:val="nil"/>
              <w:bottom w:val="nil"/>
              <w:right w:val="nil"/>
            </w:tcBorders>
            <w:shd w:val="clear" w:color="auto" w:fill="auto"/>
            <w:noWrap/>
            <w:vAlign w:val="center"/>
            <w:hideMark/>
          </w:tcPr>
          <w:p w14:paraId="7D8DCB9C" w14:textId="77777777" w:rsidR="00E818F7" w:rsidRPr="001116C5" w:rsidRDefault="00E818F7" w:rsidP="0086616B">
            <w:pPr>
              <w:rPr>
                <w:rFonts w:asciiTheme="minorHAnsi" w:hAnsiTheme="minorHAnsi" w:cstheme="minorHAnsi"/>
                <w:szCs w:val="22"/>
              </w:rPr>
            </w:pPr>
          </w:p>
        </w:tc>
        <w:tc>
          <w:tcPr>
            <w:tcW w:w="605" w:type="pct"/>
            <w:tcBorders>
              <w:top w:val="nil"/>
              <w:left w:val="nil"/>
              <w:bottom w:val="single" w:sz="12" w:space="0" w:color="auto"/>
              <w:right w:val="nil"/>
            </w:tcBorders>
            <w:shd w:val="clear" w:color="auto" w:fill="auto"/>
            <w:noWrap/>
            <w:vAlign w:val="center"/>
            <w:hideMark/>
          </w:tcPr>
          <w:p w14:paraId="43C91695"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2022.</w:t>
            </w:r>
          </w:p>
        </w:tc>
        <w:tc>
          <w:tcPr>
            <w:tcW w:w="153" w:type="pct"/>
            <w:tcBorders>
              <w:top w:val="nil"/>
              <w:left w:val="nil"/>
              <w:bottom w:val="nil"/>
              <w:right w:val="nil"/>
            </w:tcBorders>
            <w:shd w:val="clear" w:color="auto" w:fill="auto"/>
            <w:noWrap/>
            <w:vAlign w:val="center"/>
            <w:hideMark/>
          </w:tcPr>
          <w:p w14:paraId="14743629" w14:textId="77777777" w:rsidR="00E818F7" w:rsidRPr="001116C5" w:rsidRDefault="00E818F7" w:rsidP="0086616B">
            <w:pPr>
              <w:jc w:val="center"/>
              <w:rPr>
                <w:rFonts w:asciiTheme="minorHAnsi" w:hAnsiTheme="minorHAnsi" w:cstheme="minorHAnsi"/>
                <w:b/>
                <w:bCs/>
                <w:color w:val="000000"/>
                <w:szCs w:val="22"/>
              </w:rPr>
            </w:pPr>
          </w:p>
        </w:tc>
        <w:tc>
          <w:tcPr>
            <w:tcW w:w="605" w:type="pct"/>
            <w:tcBorders>
              <w:top w:val="nil"/>
              <w:left w:val="nil"/>
              <w:bottom w:val="single" w:sz="12" w:space="0" w:color="auto"/>
              <w:right w:val="nil"/>
            </w:tcBorders>
            <w:shd w:val="clear" w:color="auto" w:fill="auto"/>
            <w:noWrap/>
            <w:vAlign w:val="center"/>
            <w:hideMark/>
          </w:tcPr>
          <w:p w14:paraId="494E892D"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2023.</w:t>
            </w:r>
          </w:p>
        </w:tc>
        <w:tc>
          <w:tcPr>
            <w:tcW w:w="152" w:type="pct"/>
            <w:tcBorders>
              <w:top w:val="nil"/>
              <w:left w:val="nil"/>
              <w:bottom w:val="nil"/>
              <w:right w:val="nil"/>
            </w:tcBorders>
            <w:shd w:val="clear" w:color="auto" w:fill="auto"/>
            <w:noWrap/>
            <w:vAlign w:val="center"/>
            <w:hideMark/>
          </w:tcPr>
          <w:p w14:paraId="64F16BB9" w14:textId="77777777" w:rsidR="00E818F7" w:rsidRPr="001116C5" w:rsidRDefault="00E818F7" w:rsidP="0086616B">
            <w:pPr>
              <w:jc w:val="center"/>
              <w:rPr>
                <w:rFonts w:asciiTheme="minorHAnsi" w:hAnsiTheme="minorHAnsi" w:cstheme="minorHAnsi"/>
                <w:b/>
                <w:bCs/>
                <w:color w:val="000000"/>
                <w:szCs w:val="22"/>
              </w:rPr>
            </w:pPr>
          </w:p>
        </w:tc>
        <w:tc>
          <w:tcPr>
            <w:tcW w:w="605" w:type="pct"/>
            <w:tcBorders>
              <w:top w:val="nil"/>
              <w:left w:val="nil"/>
              <w:bottom w:val="single" w:sz="12" w:space="0" w:color="auto"/>
              <w:right w:val="nil"/>
            </w:tcBorders>
            <w:shd w:val="clear" w:color="auto" w:fill="auto"/>
            <w:noWrap/>
            <w:vAlign w:val="center"/>
            <w:hideMark/>
          </w:tcPr>
          <w:p w14:paraId="1CBE7306"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Razlika</w:t>
            </w:r>
          </w:p>
        </w:tc>
        <w:tc>
          <w:tcPr>
            <w:tcW w:w="152" w:type="pct"/>
            <w:tcBorders>
              <w:top w:val="nil"/>
              <w:left w:val="nil"/>
              <w:bottom w:val="nil"/>
              <w:right w:val="nil"/>
            </w:tcBorders>
            <w:shd w:val="clear" w:color="auto" w:fill="auto"/>
            <w:noWrap/>
            <w:vAlign w:val="center"/>
            <w:hideMark/>
          </w:tcPr>
          <w:p w14:paraId="514F6659" w14:textId="77777777" w:rsidR="00E818F7" w:rsidRPr="001116C5" w:rsidRDefault="00E818F7" w:rsidP="0086616B">
            <w:pPr>
              <w:jc w:val="center"/>
              <w:rPr>
                <w:rFonts w:asciiTheme="minorHAnsi" w:hAnsiTheme="minorHAnsi" w:cstheme="minorHAnsi"/>
                <w:b/>
                <w:bCs/>
                <w:color w:val="000000"/>
                <w:szCs w:val="22"/>
              </w:rPr>
            </w:pPr>
          </w:p>
        </w:tc>
        <w:tc>
          <w:tcPr>
            <w:tcW w:w="530" w:type="pct"/>
            <w:tcBorders>
              <w:top w:val="nil"/>
              <w:left w:val="nil"/>
              <w:bottom w:val="single" w:sz="12" w:space="0" w:color="auto"/>
              <w:right w:val="nil"/>
            </w:tcBorders>
            <w:shd w:val="clear" w:color="auto" w:fill="auto"/>
            <w:noWrap/>
            <w:vAlign w:val="center"/>
            <w:hideMark/>
          </w:tcPr>
          <w:p w14:paraId="6E1654DF"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Index</w:t>
            </w:r>
          </w:p>
        </w:tc>
      </w:tr>
      <w:tr w:rsidR="00E818F7" w:rsidRPr="001116C5" w14:paraId="703E1BD9" w14:textId="77777777" w:rsidTr="0086616B">
        <w:trPr>
          <w:trHeight w:val="300"/>
        </w:trPr>
        <w:tc>
          <w:tcPr>
            <w:tcW w:w="1440" w:type="pct"/>
            <w:tcBorders>
              <w:top w:val="nil"/>
              <w:left w:val="nil"/>
              <w:bottom w:val="nil"/>
              <w:right w:val="nil"/>
            </w:tcBorders>
            <w:shd w:val="clear" w:color="auto" w:fill="auto"/>
            <w:vAlign w:val="center"/>
            <w:hideMark/>
          </w:tcPr>
          <w:p w14:paraId="755D2E5D"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Tekuće donacije</w:t>
            </w:r>
          </w:p>
        </w:tc>
        <w:tc>
          <w:tcPr>
            <w:tcW w:w="605" w:type="pct"/>
            <w:tcBorders>
              <w:top w:val="nil"/>
              <w:left w:val="nil"/>
              <w:bottom w:val="nil"/>
              <w:right w:val="nil"/>
            </w:tcBorders>
            <w:shd w:val="clear" w:color="auto" w:fill="auto"/>
            <w:vAlign w:val="center"/>
            <w:hideMark/>
          </w:tcPr>
          <w:p w14:paraId="12C89FC6"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AOP 122</w:t>
            </w:r>
          </w:p>
        </w:tc>
        <w:tc>
          <w:tcPr>
            <w:tcW w:w="152" w:type="pct"/>
            <w:tcBorders>
              <w:top w:val="nil"/>
              <w:left w:val="nil"/>
              <w:bottom w:val="nil"/>
              <w:right w:val="nil"/>
            </w:tcBorders>
            <w:shd w:val="clear" w:color="auto" w:fill="auto"/>
            <w:vAlign w:val="center"/>
            <w:hideMark/>
          </w:tcPr>
          <w:p w14:paraId="35A61751" w14:textId="77777777" w:rsidR="00E818F7" w:rsidRPr="001116C5" w:rsidRDefault="00E818F7" w:rsidP="0086616B">
            <w:pPr>
              <w:rPr>
                <w:rFonts w:asciiTheme="minorHAnsi" w:hAnsiTheme="minorHAnsi" w:cstheme="minorHAnsi"/>
                <w:color w:val="000000"/>
                <w:szCs w:val="22"/>
              </w:rPr>
            </w:pPr>
          </w:p>
        </w:tc>
        <w:tc>
          <w:tcPr>
            <w:tcW w:w="605" w:type="pct"/>
            <w:tcBorders>
              <w:top w:val="nil"/>
              <w:left w:val="nil"/>
              <w:bottom w:val="nil"/>
              <w:right w:val="nil"/>
            </w:tcBorders>
            <w:shd w:val="clear" w:color="auto" w:fill="auto"/>
            <w:vAlign w:val="center"/>
            <w:hideMark/>
          </w:tcPr>
          <w:p w14:paraId="3FD95498"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c>
          <w:tcPr>
            <w:tcW w:w="153" w:type="pct"/>
            <w:tcBorders>
              <w:top w:val="nil"/>
              <w:left w:val="nil"/>
              <w:bottom w:val="nil"/>
              <w:right w:val="nil"/>
            </w:tcBorders>
            <w:shd w:val="clear" w:color="auto" w:fill="auto"/>
            <w:vAlign w:val="center"/>
            <w:hideMark/>
          </w:tcPr>
          <w:p w14:paraId="0F8F20B7" w14:textId="77777777" w:rsidR="00E818F7" w:rsidRPr="001116C5" w:rsidRDefault="00E818F7" w:rsidP="0086616B">
            <w:pPr>
              <w:jc w:val="right"/>
              <w:rPr>
                <w:rFonts w:asciiTheme="minorHAnsi" w:hAnsiTheme="minorHAnsi" w:cstheme="minorHAnsi"/>
                <w:color w:val="000000"/>
                <w:szCs w:val="22"/>
              </w:rPr>
            </w:pPr>
          </w:p>
        </w:tc>
        <w:tc>
          <w:tcPr>
            <w:tcW w:w="605" w:type="pct"/>
            <w:tcBorders>
              <w:top w:val="nil"/>
              <w:left w:val="nil"/>
              <w:bottom w:val="nil"/>
              <w:right w:val="nil"/>
            </w:tcBorders>
            <w:shd w:val="clear" w:color="auto" w:fill="auto"/>
            <w:vAlign w:val="center"/>
            <w:hideMark/>
          </w:tcPr>
          <w:p w14:paraId="00E6C9A0"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c>
          <w:tcPr>
            <w:tcW w:w="152" w:type="pct"/>
            <w:tcBorders>
              <w:top w:val="nil"/>
              <w:left w:val="nil"/>
              <w:bottom w:val="nil"/>
              <w:right w:val="nil"/>
            </w:tcBorders>
            <w:shd w:val="clear" w:color="auto" w:fill="auto"/>
            <w:vAlign w:val="center"/>
            <w:hideMark/>
          </w:tcPr>
          <w:p w14:paraId="30D1BAFE" w14:textId="77777777" w:rsidR="00E818F7" w:rsidRPr="001116C5" w:rsidRDefault="00E818F7" w:rsidP="0086616B">
            <w:pPr>
              <w:jc w:val="right"/>
              <w:rPr>
                <w:rFonts w:asciiTheme="minorHAnsi" w:hAnsiTheme="minorHAnsi" w:cstheme="minorHAnsi"/>
                <w:color w:val="000000"/>
                <w:szCs w:val="22"/>
              </w:rPr>
            </w:pPr>
          </w:p>
        </w:tc>
        <w:tc>
          <w:tcPr>
            <w:tcW w:w="605" w:type="pct"/>
            <w:tcBorders>
              <w:top w:val="nil"/>
              <w:left w:val="nil"/>
              <w:bottom w:val="nil"/>
              <w:right w:val="nil"/>
            </w:tcBorders>
            <w:shd w:val="clear" w:color="auto" w:fill="auto"/>
            <w:vAlign w:val="center"/>
            <w:hideMark/>
          </w:tcPr>
          <w:p w14:paraId="78FF8121"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c>
          <w:tcPr>
            <w:tcW w:w="152" w:type="pct"/>
            <w:tcBorders>
              <w:top w:val="nil"/>
              <w:left w:val="nil"/>
              <w:bottom w:val="nil"/>
              <w:right w:val="nil"/>
            </w:tcBorders>
            <w:shd w:val="clear" w:color="auto" w:fill="auto"/>
            <w:vAlign w:val="center"/>
            <w:hideMark/>
          </w:tcPr>
          <w:p w14:paraId="7D09D90A" w14:textId="77777777" w:rsidR="00E818F7" w:rsidRPr="001116C5" w:rsidRDefault="00E818F7" w:rsidP="0086616B">
            <w:pPr>
              <w:jc w:val="right"/>
              <w:rPr>
                <w:rFonts w:asciiTheme="minorHAnsi" w:hAnsiTheme="minorHAnsi" w:cstheme="minorHAnsi"/>
                <w:color w:val="000000"/>
                <w:szCs w:val="22"/>
              </w:rPr>
            </w:pPr>
          </w:p>
        </w:tc>
        <w:tc>
          <w:tcPr>
            <w:tcW w:w="530" w:type="pct"/>
            <w:tcBorders>
              <w:top w:val="nil"/>
              <w:left w:val="nil"/>
              <w:bottom w:val="nil"/>
              <w:right w:val="nil"/>
            </w:tcBorders>
            <w:shd w:val="clear" w:color="auto" w:fill="auto"/>
            <w:vAlign w:val="center"/>
            <w:hideMark/>
          </w:tcPr>
          <w:p w14:paraId="7DD85B9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r>
      <w:tr w:rsidR="00E818F7" w:rsidRPr="001116C5" w14:paraId="22C681AF" w14:textId="77777777" w:rsidTr="0086616B">
        <w:trPr>
          <w:trHeight w:val="300"/>
        </w:trPr>
        <w:tc>
          <w:tcPr>
            <w:tcW w:w="1440" w:type="pct"/>
            <w:tcBorders>
              <w:top w:val="nil"/>
              <w:left w:val="nil"/>
              <w:bottom w:val="nil"/>
              <w:right w:val="nil"/>
            </w:tcBorders>
            <w:shd w:val="clear" w:color="auto" w:fill="auto"/>
            <w:vAlign w:val="center"/>
            <w:hideMark/>
          </w:tcPr>
          <w:p w14:paraId="19BF4101"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Kapitalne donacije</w:t>
            </w:r>
          </w:p>
        </w:tc>
        <w:tc>
          <w:tcPr>
            <w:tcW w:w="605" w:type="pct"/>
            <w:tcBorders>
              <w:top w:val="nil"/>
              <w:left w:val="nil"/>
              <w:bottom w:val="nil"/>
              <w:right w:val="nil"/>
            </w:tcBorders>
            <w:shd w:val="clear" w:color="auto" w:fill="auto"/>
            <w:vAlign w:val="center"/>
            <w:hideMark/>
          </w:tcPr>
          <w:p w14:paraId="592D8FDD"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AOP 126</w:t>
            </w:r>
          </w:p>
        </w:tc>
        <w:tc>
          <w:tcPr>
            <w:tcW w:w="152" w:type="pct"/>
            <w:tcBorders>
              <w:top w:val="nil"/>
              <w:left w:val="nil"/>
              <w:bottom w:val="nil"/>
              <w:right w:val="nil"/>
            </w:tcBorders>
            <w:shd w:val="clear" w:color="auto" w:fill="auto"/>
            <w:vAlign w:val="center"/>
            <w:hideMark/>
          </w:tcPr>
          <w:p w14:paraId="43F4FC95" w14:textId="77777777" w:rsidR="00E818F7" w:rsidRPr="001116C5" w:rsidRDefault="00E818F7" w:rsidP="0086616B">
            <w:pPr>
              <w:rPr>
                <w:rFonts w:asciiTheme="minorHAnsi" w:hAnsiTheme="minorHAnsi" w:cstheme="minorHAnsi"/>
                <w:color w:val="000000"/>
                <w:szCs w:val="22"/>
              </w:rPr>
            </w:pPr>
          </w:p>
        </w:tc>
        <w:tc>
          <w:tcPr>
            <w:tcW w:w="605" w:type="pct"/>
            <w:tcBorders>
              <w:top w:val="nil"/>
              <w:left w:val="nil"/>
              <w:bottom w:val="nil"/>
              <w:right w:val="nil"/>
            </w:tcBorders>
            <w:shd w:val="clear" w:color="auto" w:fill="auto"/>
            <w:vAlign w:val="center"/>
            <w:hideMark/>
          </w:tcPr>
          <w:p w14:paraId="288ABE2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23.427</w:t>
            </w:r>
          </w:p>
        </w:tc>
        <w:tc>
          <w:tcPr>
            <w:tcW w:w="153" w:type="pct"/>
            <w:tcBorders>
              <w:top w:val="nil"/>
              <w:left w:val="nil"/>
              <w:bottom w:val="nil"/>
              <w:right w:val="nil"/>
            </w:tcBorders>
            <w:shd w:val="clear" w:color="auto" w:fill="auto"/>
            <w:vAlign w:val="center"/>
            <w:hideMark/>
          </w:tcPr>
          <w:p w14:paraId="6DAE2985" w14:textId="77777777" w:rsidR="00E818F7" w:rsidRPr="001116C5" w:rsidRDefault="00E818F7" w:rsidP="0086616B">
            <w:pPr>
              <w:jc w:val="right"/>
              <w:rPr>
                <w:rFonts w:asciiTheme="minorHAnsi" w:hAnsiTheme="minorHAnsi" w:cstheme="minorHAnsi"/>
                <w:color w:val="000000"/>
                <w:szCs w:val="22"/>
              </w:rPr>
            </w:pPr>
          </w:p>
        </w:tc>
        <w:tc>
          <w:tcPr>
            <w:tcW w:w="605" w:type="pct"/>
            <w:tcBorders>
              <w:top w:val="nil"/>
              <w:left w:val="nil"/>
              <w:bottom w:val="nil"/>
              <w:right w:val="nil"/>
            </w:tcBorders>
            <w:shd w:val="clear" w:color="auto" w:fill="auto"/>
            <w:vAlign w:val="center"/>
            <w:hideMark/>
          </w:tcPr>
          <w:p w14:paraId="4D7BD278"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c>
          <w:tcPr>
            <w:tcW w:w="152" w:type="pct"/>
            <w:tcBorders>
              <w:top w:val="nil"/>
              <w:left w:val="nil"/>
              <w:bottom w:val="nil"/>
              <w:right w:val="nil"/>
            </w:tcBorders>
            <w:shd w:val="clear" w:color="auto" w:fill="auto"/>
            <w:vAlign w:val="center"/>
            <w:hideMark/>
          </w:tcPr>
          <w:p w14:paraId="224628E0" w14:textId="77777777" w:rsidR="00E818F7" w:rsidRPr="001116C5" w:rsidRDefault="00E818F7" w:rsidP="0086616B">
            <w:pPr>
              <w:jc w:val="right"/>
              <w:rPr>
                <w:rFonts w:asciiTheme="minorHAnsi" w:hAnsiTheme="minorHAnsi" w:cstheme="minorHAnsi"/>
                <w:color w:val="000000"/>
                <w:szCs w:val="22"/>
              </w:rPr>
            </w:pPr>
          </w:p>
        </w:tc>
        <w:tc>
          <w:tcPr>
            <w:tcW w:w="605" w:type="pct"/>
            <w:tcBorders>
              <w:top w:val="nil"/>
              <w:left w:val="nil"/>
              <w:bottom w:val="nil"/>
              <w:right w:val="nil"/>
            </w:tcBorders>
            <w:shd w:val="clear" w:color="auto" w:fill="auto"/>
            <w:vAlign w:val="center"/>
            <w:hideMark/>
          </w:tcPr>
          <w:p w14:paraId="789AE6B3"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(23.427)</w:t>
            </w:r>
          </w:p>
        </w:tc>
        <w:tc>
          <w:tcPr>
            <w:tcW w:w="152" w:type="pct"/>
            <w:tcBorders>
              <w:top w:val="nil"/>
              <w:left w:val="nil"/>
              <w:bottom w:val="nil"/>
              <w:right w:val="nil"/>
            </w:tcBorders>
            <w:shd w:val="clear" w:color="auto" w:fill="auto"/>
            <w:vAlign w:val="center"/>
            <w:hideMark/>
          </w:tcPr>
          <w:p w14:paraId="69914C3F" w14:textId="77777777" w:rsidR="00E818F7" w:rsidRPr="001116C5" w:rsidRDefault="00E818F7" w:rsidP="0086616B">
            <w:pPr>
              <w:jc w:val="right"/>
              <w:rPr>
                <w:rFonts w:asciiTheme="minorHAnsi" w:hAnsiTheme="minorHAnsi" w:cstheme="minorHAnsi"/>
                <w:color w:val="000000"/>
                <w:szCs w:val="22"/>
              </w:rPr>
            </w:pPr>
          </w:p>
        </w:tc>
        <w:tc>
          <w:tcPr>
            <w:tcW w:w="530" w:type="pct"/>
            <w:tcBorders>
              <w:top w:val="nil"/>
              <w:left w:val="nil"/>
              <w:bottom w:val="nil"/>
              <w:right w:val="nil"/>
            </w:tcBorders>
            <w:shd w:val="clear" w:color="auto" w:fill="auto"/>
            <w:vAlign w:val="center"/>
            <w:hideMark/>
          </w:tcPr>
          <w:p w14:paraId="06270A65"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r>
      <w:tr w:rsidR="00E818F7" w:rsidRPr="001116C5" w14:paraId="1B63C9DC" w14:textId="77777777" w:rsidTr="0086616B">
        <w:trPr>
          <w:trHeight w:val="300"/>
        </w:trPr>
        <w:tc>
          <w:tcPr>
            <w:tcW w:w="1440" w:type="pct"/>
            <w:tcBorders>
              <w:top w:val="nil"/>
              <w:left w:val="nil"/>
              <w:bottom w:val="nil"/>
              <w:right w:val="nil"/>
            </w:tcBorders>
            <w:shd w:val="clear" w:color="auto" w:fill="auto"/>
            <w:noWrap/>
            <w:vAlign w:val="center"/>
            <w:hideMark/>
          </w:tcPr>
          <w:p w14:paraId="3469EADF"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w:t>
            </w:r>
          </w:p>
        </w:tc>
        <w:tc>
          <w:tcPr>
            <w:tcW w:w="605" w:type="pct"/>
            <w:tcBorders>
              <w:top w:val="nil"/>
              <w:left w:val="nil"/>
              <w:bottom w:val="nil"/>
              <w:right w:val="nil"/>
            </w:tcBorders>
            <w:shd w:val="clear" w:color="auto" w:fill="auto"/>
            <w:vAlign w:val="center"/>
            <w:hideMark/>
          </w:tcPr>
          <w:p w14:paraId="5E642DC0"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AOP 120</w:t>
            </w:r>
          </w:p>
        </w:tc>
        <w:tc>
          <w:tcPr>
            <w:tcW w:w="152" w:type="pct"/>
            <w:tcBorders>
              <w:top w:val="nil"/>
              <w:left w:val="nil"/>
              <w:bottom w:val="nil"/>
              <w:right w:val="nil"/>
            </w:tcBorders>
            <w:shd w:val="clear" w:color="auto" w:fill="auto"/>
            <w:vAlign w:val="center"/>
            <w:hideMark/>
          </w:tcPr>
          <w:p w14:paraId="443BF631" w14:textId="77777777" w:rsidR="00E818F7" w:rsidRPr="001116C5" w:rsidRDefault="00E818F7" w:rsidP="0086616B">
            <w:pPr>
              <w:rPr>
                <w:rFonts w:asciiTheme="minorHAnsi" w:hAnsiTheme="minorHAnsi" w:cstheme="minorHAnsi"/>
                <w:b/>
                <w:bCs/>
                <w:color w:val="000000"/>
                <w:szCs w:val="22"/>
              </w:rPr>
            </w:pPr>
          </w:p>
        </w:tc>
        <w:tc>
          <w:tcPr>
            <w:tcW w:w="605" w:type="pct"/>
            <w:tcBorders>
              <w:top w:val="single" w:sz="8" w:space="0" w:color="auto"/>
              <w:left w:val="nil"/>
              <w:bottom w:val="single" w:sz="12" w:space="0" w:color="auto"/>
              <w:right w:val="nil"/>
            </w:tcBorders>
            <w:shd w:val="clear" w:color="auto" w:fill="auto"/>
            <w:noWrap/>
            <w:vAlign w:val="center"/>
            <w:hideMark/>
          </w:tcPr>
          <w:p w14:paraId="4B608EAA"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23.427</w:t>
            </w:r>
          </w:p>
        </w:tc>
        <w:tc>
          <w:tcPr>
            <w:tcW w:w="153" w:type="pct"/>
            <w:tcBorders>
              <w:top w:val="nil"/>
              <w:left w:val="nil"/>
              <w:bottom w:val="nil"/>
              <w:right w:val="nil"/>
            </w:tcBorders>
            <w:shd w:val="clear" w:color="auto" w:fill="auto"/>
            <w:noWrap/>
            <w:vAlign w:val="center"/>
          </w:tcPr>
          <w:p w14:paraId="524DF9EE" w14:textId="77777777" w:rsidR="00E818F7" w:rsidRPr="001116C5" w:rsidRDefault="00E818F7" w:rsidP="0086616B">
            <w:pPr>
              <w:jc w:val="right"/>
              <w:rPr>
                <w:rFonts w:asciiTheme="minorHAnsi" w:hAnsiTheme="minorHAnsi" w:cstheme="minorHAnsi"/>
                <w:b/>
                <w:bCs/>
                <w:color w:val="000000"/>
                <w:szCs w:val="22"/>
              </w:rPr>
            </w:pPr>
          </w:p>
        </w:tc>
        <w:tc>
          <w:tcPr>
            <w:tcW w:w="605" w:type="pct"/>
            <w:tcBorders>
              <w:top w:val="single" w:sz="8" w:space="0" w:color="auto"/>
              <w:left w:val="nil"/>
              <w:bottom w:val="single" w:sz="12" w:space="0" w:color="auto"/>
              <w:right w:val="nil"/>
            </w:tcBorders>
            <w:shd w:val="clear" w:color="auto" w:fill="auto"/>
            <w:noWrap/>
            <w:vAlign w:val="center"/>
            <w:hideMark/>
          </w:tcPr>
          <w:p w14:paraId="147A0810"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w:t>
            </w:r>
          </w:p>
        </w:tc>
        <w:tc>
          <w:tcPr>
            <w:tcW w:w="152" w:type="pct"/>
            <w:tcBorders>
              <w:top w:val="nil"/>
              <w:left w:val="nil"/>
              <w:bottom w:val="nil"/>
              <w:right w:val="nil"/>
            </w:tcBorders>
            <w:shd w:val="clear" w:color="auto" w:fill="auto"/>
            <w:noWrap/>
            <w:vAlign w:val="center"/>
            <w:hideMark/>
          </w:tcPr>
          <w:p w14:paraId="2894172B" w14:textId="77777777" w:rsidR="00E818F7" w:rsidRPr="001116C5" w:rsidRDefault="00E818F7" w:rsidP="0086616B">
            <w:pPr>
              <w:jc w:val="right"/>
              <w:rPr>
                <w:rFonts w:asciiTheme="minorHAnsi" w:hAnsiTheme="minorHAnsi" w:cstheme="minorHAnsi"/>
                <w:b/>
                <w:bCs/>
                <w:color w:val="000000"/>
                <w:szCs w:val="22"/>
              </w:rPr>
            </w:pPr>
          </w:p>
        </w:tc>
        <w:tc>
          <w:tcPr>
            <w:tcW w:w="605" w:type="pct"/>
            <w:tcBorders>
              <w:top w:val="single" w:sz="8" w:space="0" w:color="auto"/>
              <w:left w:val="nil"/>
              <w:bottom w:val="single" w:sz="12" w:space="0" w:color="auto"/>
              <w:right w:val="nil"/>
            </w:tcBorders>
            <w:shd w:val="clear" w:color="auto" w:fill="auto"/>
            <w:noWrap/>
            <w:vAlign w:val="center"/>
            <w:hideMark/>
          </w:tcPr>
          <w:p w14:paraId="54499FCA"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(23.427)</w:t>
            </w:r>
          </w:p>
        </w:tc>
        <w:tc>
          <w:tcPr>
            <w:tcW w:w="152" w:type="pct"/>
            <w:tcBorders>
              <w:top w:val="nil"/>
              <w:left w:val="nil"/>
              <w:bottom w:val="nil"/>
              <w:right w:val="nil"/>
            </w:tcBorders>
            <w:shd w:val="clear" w:color="auto" w:fill="auto"/>
            <w:noWrap/>
            <w:vAlign w:val="center"/>
            <w:hideMark/>
          </w:tcPr>
          <w:p w14:paraId="2783FA0D" w14:textId="77777777" w:rsidR="00E818F7" w:rsidRPr="001116C5" w:rsidRDefault="00E818F7" w:rsidP="0086616B">
            <w:pPr>
              <w:jc w:val="right"/>
              <w:rPr>
                <w:rFonts w:asciiTheme="minorHAnsi" w:hAnsiTheme="minorHAnsi" w:cstheme="minorHAnsi"/>
                <w:b/>
                <w:bCs/>
                <w:color w:val="000000"/>
                <w:szCs w:val="22"/>
              </w:rPr>
            </w:pPr>
          </w:p>
        </w:tc>
        <w:tc>
          <w:tcPr>
            <w:tcW w:w="530" w:type="pct"/>
            <w:tcBorders>
              <w:top w:val="single" w:sz="8" w:space="0" w:color="auto"/>
              <w:left w:val="nil"/>
              <w:bottom w:val="single" w:sz="12" w:space="0" w:color="auto"/>
              <w:right w:val="nil"/>
            </w:tcBorders>
            <w:shd w:val="clear" w:color="auto" w:fill="auto"/>
            <w:noWrap/>
            <w:vAlign w:val="center"/>
            <w:hideMark/>
          </w:tcPr>
          <w:p w14:paraId="0D1C8D42"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w:t>
            </w:r>
          </w:p>
        </w:tc>
      </w:tr>
    </w:tbl>
    <w:p w14:paraId="5E43CF31"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rPr>
      </w:pPr>
    </w:p>
    <w:p w14:paraId="6A707592"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szCs w:val="22"/>
          <w:lang w:val="pt-PT"/>
        </w:rPr>
        <w:t>U 2023. godini nije bilo donacija.</w:t>
      </w:r>
    </w:p>
    <w:p w14:paraId="133F7A8B" w14:textId="77777777" w:rsidR="001116C5" w:rsidRDefault="001116C5"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rPr>
      </w:pPr>
    </w:p>
    <w:p w14:paraId="4D9C2465" w14:textId="77777777" w:rsidR="001116C5" w:rsidRDefault="001116C5">
      <w:pPr>
        <w:jc w:val="left"/>
        <w:rPr>
          <w:rFonts w:asciiTheme="minorHAnsi" w:hAnsiTheme="minorHAnsi" w:cstheme="minorHAnsi"/>
          <w:b/>
          <w:szCs w:val="22"/>
        </w:rPr>
      </w:pPr>
      <w:r>
        <w:rPr>
          <w:rFonts w:asciiTheme="minorHAnsi" w:hAnsiTheme="minorHAnsi" w:cstheme="minorHAnsi"/>
          <w:b/>
          <w:szCs w:val="22"/>
        </w:rPr>
        <w:br w:type="page"/>
      </w:r>
    </w:p>
    <w:p w14:paraId="458A20B4" w14:textId="4323C07C"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rPr>
      </w:pPr>
      <w:r w:rsidRPr="001116C5">
        <w:rPr>
          <w:rFonts w:asciiTheme="minorHAnsi" w:hAnsiTheme="minorHAnsi" w:cstheme="minorHAnsi"/>
          <w:b/>
          <w:szCs w:val="22"/>
        </w:rPr>
        <w:lastRenderedPageBreak/>
        <w:t xml:space="preserve">8. </w:t>
      </w:r>
      <w:r w:rsidRPr="001116C5">
        <w:rPr>
          <w:rFonts w:asciiTheme="minorHAnsi" w:hAnsiTheme="minorHAnsi" w:cstheme="minorHAnsi"/>
          <w:b/>
          <w:szCs w:val="22"/>
        </w:rPr>
        <w:tab/>
        <w:t>VIŠAK / MANJAK PRIHODA NAD RASHODIMA</w:t>
      </w:r>
    </w:p>
    <w:p w14:paraId="5F1575DA"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rPr>
      </w:pPr>
    </w:p>
    <w:tbl>
      <w:tblPr>
        <w:tblW w:w="9356" w:type="dxa"/>
        <w:tblInd w:w="108" w:type="dxa"/>
        <w:tblLayout w:type="fixed"/>
        <w:tblLook w:val="04A0" w:firstRow="1" w:lastRow="0" w:firstColumn="1" w:lastColumn="0" w:noHBand="0" w:noVBand="1"/>
      </w:tblPr>
      <w:tblGrid>
        <w:gridCol w:w="2694"/>
        <w:gridCol w:w="1134"/>
        <w:gridCol w:w="283"/>
        <w:gridCol w:w="1134"/>
        <w:gridCol w:w="284"/>
        <w:gridCol w:w="1134"/>
        <w:gridCol w:w="283"/>
        <w:gridCol w:w="1134"/>
        <w:gridCol w:w="284"/>
        <w:gridCol w:w="992"/>
      </w:tblGrid>
      <w:tr w:rsidR="00E818F7" w:rsidRPr="001116C5" w14:paraId="513F09FB" w14:textId="77777777" w:rsidTr="0086616B">
        <w:trPr>
          <w:trHeight w:val="340"/>
        </w:trPr>
        <w:tc>
          <w:tcPr>
            <w:tcW w:w="2694" w:type="dxa"/>
            <w:tcBorders>
              <w:top w:val="nil"/>
              <w:left w:val="nil"/>
              <w:bottom w:val="nil"/>
              <w:right w:val="nil"/>
            </w:tcBorders>
            <w:shd w:val="clear" w:color="000000" w:fill="FFFFFF"/>
            <w:vAlign w:val="center"/>
            <w:hideMark/>
          </w:tcPr>
          <w:p w14:paraId="55570B94" w14:textId="77777777" w:rsidR="00E818F7" w:rsidRPr="001116C5" w:rsidRDefault="00E818F7" w:rsidP="0086616B">
            <w:pPr>
              <w:rPr>
                <w:rFonts w:asciiTheme="minorHAnsi" w:hAnsiTheme="minorHAnsi" w:cstheme="minorHAnsi"/>
                <w:color w:val="000000"/>
                <w:szCs w:val="22"/>
                <w:lang w:val="en-US"/>
              </w:rPr>
            </w:pPr>
            <w:r w:rsidRPr="001116C5">
              <w:rPr>
                <w:rFonts w:asciiTheme="minorHAnsi" w:hAnsiTheme="minorHAnsi" w:cstheme="minorHAnsi"/>
                <w:color w:val="000000"/>
                <w:szCs w:val="22"/>
                <w:lang w:val="en-US"/>
              </w:rPr>
              <w:t> </w:t>
            </w:r>
          </w:p>
        </w:tc>
        <w:tc>
          <w:tcPr>
            <w:tcW w:w="1134" w:type="dxa"/>
            <w:tcBorders>
              <w:top w:val="nil"/>
              <w:left w:val="nil"/>
              <w:bottom w:val="nil"/>
              <w:right w:val="nil"/>
            </w:tcBorders>
            <w:shd w:val="clear" w:color="000000" w:fill="FFFFFF"/>
            <w:noWrap/>
            <w:vAlign w:val="center"/>
            <w:hideMark/>
          </w:tcPr>
          <w:p w14:paraId="07640F60" w14:textId="77777777" w:rsidR="00E818F7" w:rsidRPr="001116C5" w:rsidRDefault="00E818F7" w:rsidP="0086616B">
            <w:pPr>
              <w:jc w:val="center"/>
              <w:rPr>
                <w:rFonts w:asciiTheme="minorHAnsi" w:hAnsiTheme="minorHAnsi" w:cstheme="minorHAnsi"/>
                <w:color w:val="000000"/>
                <w:szCs w:val="22"/>
              </w:rPr>
            </w:pPr>
            <w:r w:rsidRPr="001116C5">
              <w:rPr>
                <w:rFonts w:asciiTheme="minorHAnsi" w:hAnsiTheme="minorHAnsi" w:cstheme="minorHAnsi"/>
                <w:color w:val="000000"/>
                <w:szCs w:val="22"/>
              </w:rPr>
              <w:t> </w:t>
            </w:r>
          </w:p>
        </w:tc>
        <w:tc>
          <w:tcPr>
            <w:tcW w:w="283" w:type="dxa"/>
            <w:tcBorders>
              <w:top w:val="nil"/>
              <w:left w:val="nil"/>
              <w:bottom w:val="nil"/>
              <w:right w:val="nil"/>
            </w:tcBorders>
            <w:shd w:val="clear" w:color="000000" w:fill="FFFFFF"/>
            <w:noWrap/>
            <w:vAlign w:val="center"/>
            <w:hideMark/>
          </w:tcPr>
          <w:p w14:paraId="24AE8ADA" w14:textId="77777777" w:rsidR="00E818F7" w:rsidRPr="001116C5" w:rsidRDefault="00E818F7" w:rsidP="0086616B">
            <w:pPr>
              <w:jc w:val="center"/>
              <w:rPr>
                <w:rFonts w:asciiTheme="minorHAnsi" w:hAnsiTheme="minorHAnsi" w:cstheme="minorHAnsi"/>
                <w:i/>
                <w:iCs/>
                <w:color w:val="000000"/>
                <w:szCs w:val="22"/>
              </w:rPr>
            </w:pPr>
            <w:r w:rsidRPr="001116C5">
              <w:rPr>
                <w:rFonts w:asciiTheme="minorHAnsi" w:hAnsiTheme="minorHAnsi" w:cstheme="minorHAnsi"/>
                <w:i/>
                <w:iCs/>
                <w:color w:val="000000"/>
                <w:szCs w:val="22"/>
              </w:rPr>
              <w:t> </w:t>
            </w:r>
          </w:p>
        </w:tc>
        <w:tc>
          <w:tcPr>
            <w:tcW w:w="1134" w:type="dxa"/>
            <w:tcBorders>
              <w:top w:val="nil"/>
              <w:left w:val="nil"/>
              <w:bottom w:val="single" w:sz="12" w:space="0" w:color="auto"/>
              <w:right w:val="nil"/>
            </w:tcBorders>
            <w:shd w:val="clear" w:color="auto" w:fill="auto"/>
            <w:noWrap/>
            <w:vAlign w:val="center"/>
            <w:hideMark/>
          </w:tcPr>
          <w:p w14:paraId="571190C8"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2022.</w:t>
            </w:r>
          </w:p>
        </w:tc>
        <w:tc>
          <w:tcPr>
            <w:tcW w:w="284" w:type="dxa"/>
            <w:tcBorders>
              <w:top w:val="nil"/>
              <w:left w:val="nil"/>
              <w:bottom w:val="nil"/>
              <w:right w:val="nil"/>
            </w:tcBorders>
            <w:shd w:val="clear" w:color="auto" w:fill="auto"/>
            <w:noWrap/>
            <w:vAlign w:val="center"/>
            <w:hideMark/>
          </w:tcPr>
          <w:p w14:paraId="57EC1C5A" w14:textId="77777777" w:rsidR="00E818F7" w:rsidRPr="001116C5" w:rsidRDefault="00E818F7" w:rsidP="0086616B">
            <w:pPr>
              <w:jc w:val="center"/>
              <w:rPr>
                <w:rFonts w:asciiTheme="minorHAnsi" w:hAnsiTheme="minorHAnsi" w:cstheme="minorHAnsi"/>
                <w:b/>
                <w:bCs/>
                <w:color w:val="000000"/>
                <w:szCs w:val="22"/>
              </w:rPr>
            </w:pPr>
          </w:p>
        </w:tc>
        <w:tc>
          <w:tcPr>
            <w:tcW w:w="1134" w:type="dxa"/>
            <w:tcBorders>
              <w:top w:val="nil"/>
              <w:left w:val="nil"/>
              <w:bottom w:val="single" w:sz="12" w:space="0" w:color="auto"/>
              <w:right w:val="nil"/>
            </w:tcBorders>
            <w:shd w:val="clear" w:color="auto" w:fill="auto"/>
            <w:noWrap/>
            <w:vAlign w:val="center"/>
            <w:hideMark/>
          </w:tcPr>
          <w:p w14:paraId="18087E6B"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2023.</w:t>
            </w:r>
          </w:p>
        </w:tc>
        <w:tc>
          <w:tcPr>
            <w:tcW w:w="283" w:type="dxa"/>
            <w:tcBorders>
              <w:top w:val="nil"/>
              <w:left w:val="nil"/>
              <w:bottom w:val="nil"/>
              <w:right w:val="nil"/>
            </w:tcBorders>
            <w:shd w:val="clear" w:color="auto" w:fill="auto"/>
            <w:noWrap/>
            <w:vAlign w:val="center"/>
            <w:hideMark/>
          </w:tcPr>
          <w:p w14:paraId="18E67A8F" w14:textId="77777777" w:rsidR="00E818F7" w:rsidRPr="001116C5" w:rsidRDefault="00E818F7" w:rsidP="0086616B">
            <w:pPr>
              <w:jc w:val="center"/>
              <w:rPr>
                <w:rFonts w:asciiTheme="minorHAnsi" w:hAnsiTheme="minorHAnsi" w:cstheme="minorHAnsi"/>
                <w:b/>
                <w:bCs/>
                <w:color w:val="000000"/>
                <w:szCs w:val="22"/>
              </w:rPr>
            </w:pPr>
          </w:p>
        </w:tc>
        <w:tc>
          <w:tcPr>
            <w:tcW w:w="1134" w:type="dxa"/>
            <w:tcBorders>
              <w:top w:val="nil"/>
              <w:left w:val="nil"/>
              <w:bottom w:val="single" w:sz="12" w:space="0" w:color="auto"/>
              <w:right w:val="nil"/>
            </w:tcBorders>
            <w:shd w:val="clear" w:color="auto" w:fill="auto"/>
            <w:noWrap/>
            <w:vAlign w:val="center"/>
            <w:hideMark/>
          </w:tcPr>
          <w:p w14:paraId="5CF86F74"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Razlika</w:t>
            </w:r>
          </w:p>
        </w:tc>
        <w:tc>
          <w:tcPr>
            <w:tcW w:w="284" w:type="dxa"/>
            <w:tcBorders>
              <w:top w:val="nil"/>
              <w:left w:val="nil"/>
              <w:bottom w:val="nil"/>
              <w:right w:val="nil"/>
            </w:tcBorders>
            <w:shd w:val="clear" w:color="auto" w:fill="auto"/>
            <w:noWrap/>
            <w:vAlign w:val="center"/>
            <w:hideMark/>
          </w:tcPr>
          <w:p w14:paraId="41D89520" w14:textId="77777777" w:rsidR="00E818F7" w:rsidRPr="001116C5" w:rsidRDefault="00E818F7" w:rsidP="0086616B">
            <w:pPr>
              <w:jc w:val="center"/>
              <w:rPr>
                <w:rFonts w:asciiTheme="minorHAnsi" w:hAnsiTheme="minorHAnsi" w:cstheme="minorHAnsi"/>
                <w:b/>
                <w:bCs/>
                <w:color w:val="000000"/>
                <w:szCs w:val="22"/>
              </w:rPr>
            </w:pPr>
          </w:p>
        </w:tc>
        <w:tc>
          <w:tcPr>
            <w:tcW w:w="992" w:type="dxa"/>
            <w:tcBorders>
              <w:top w:val="nil"/>
              <w:left w:val="nil"/>
              <w:bottom w:val="single" w:sz="12" w:space="0" w:color="auto"/>
              <w:right w:val="nil"/>
            </w:tcBorders>
            <w:shd w:val="clear" w:color="auto" w:fill="auto"/>
            <w:noWrap/>
            <w:vAlign w:val="center"/>
            <w:hideMark/>
          </w:tcPr>
          <w:p w14:paraId="2CDDBA41"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Index</w:t>
            </w:r>
          </w:p>
        </w:tc>
      </w:tr>
      <w:tr w:rsidR="00E818F7" w:rsidRPr="001116C5" w14:paraId="45E6F9DD" w14:textId="77777777" w:rsidTr="0086616B">
        <w:trPr>
          <w:trHeight w:val="340"/>
        </w:trPr>
        <w:tc>
          <w:tcPr>
            <w:tcW w:w="2694" w:type="dxa"/>
            <w:tcBorders>
              <w:top w:val="nil"/>
              <w:left w:val="nil"/>
              <w:bottom w:val="nil"/>
              <w:right w:val="nil"/>
            </w:tcBorders>
            <w:shd w:val="clear" w:color="000000" w:fill="FFFFFF"/>
            <w:vAlign w:val="center"/>
            <w:hideMark/>
          </w:tcPr>
          <w:p w14:paraId="7A6ECF20" w14:textId="77777777" w:rsidR="00E818F7" w:rsidRPr="001116C5" w:rsidRDefault="00E818F7" w:rsidP="0086616B">
            <w:pPr>
              <w:rPr>
                <w:rFonts w:asciiTheme="minorHAnsi" w:hAnsiTheme="minorHAnsi" w:cstheme="minorHAnsi"/>
                <w:color w:val="000000"/>
                <w:szCs w:val="22"/>
                <w:lang w:val="en-US"/>
              </w:rPr>
            </w:pPr>
            <w:r w:rsidRPr="001116C5">
              <w:rPr>
                <w:rFonts w:asciiTheme="minorHAnsi" w:hAnsiTheme="minorHAnsi" w:cstheme="minorHAnsi"/>
                <w:color w:val="000000"/>
                <w:szCs w:val="22"/>
                <w:lang w:val="en-US"/>
              </w:rPr>
              <w:t>Ukupni prihodi</w:t>
            </w:r>
          </w:p>
        </w:tc>
        <w:tc>
          <w:tcPr>
            <w:tcW w:w="1134" w:type="dxa"/>
            <w:tcBorders>
              <w:top w:val="nil"/>
              <w:left w:val="nil"/>
              <w:bottom w:val="nil"/>
              <w:right w:val="nil"/>
            </w:tcBorders>
            <w:shd w:val="clear" w:color="auto" w:fill="auto"/>
            <w:vAlign w:val="center"/>
            <w:hideMark/>
          </w:tcPr>
          <w:p w14:paraId="080D02E1"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AOP 001</w:t>
            </w:r>
          </w:p>
        </w:tc>
        <w:tc>
          <w:tcPr>
            <w:tcW w:w="283" w:type="dxa"/>
            <w:tcBorders>
              <w:top w:val="nil"/>
              <w:left w:val="nil"/>
              <w:bottom w:val="nil"/>
              <w:right w:val="nil"/>
            </w:tcBorders>
            <w:shd w:val="clear" w:color="000000" w:fill="FFFFFF"/>
            <w:noWrap/>
            <w:vAlign w:val="center"/>
            <w:hideMark/>
          </w:tcPr>
          <w:p w14:paraId="763415C7" w14:textId="77777777" w:rsidR="00E818F7" w:rsidRPr="001116C5" w:rsidRDefault="00E818F7" w:rsidP="0086616B">
            <w:pPr>
              <w:jc w:val="center"/>
              <w:rPr>
                <w:rFonts w:asciiTheme="minorHAnsi" w:hAnsiTheme="minorHAnsi" w:cstheme="minorHAnsi"/>
                <w:i/>
                <w:iCs/>
                <w:color w:val="000000"/>
                <w:szCs w:val="22"/>
              </w:rPr>
            </w:pPr>
            <w:r w:rsidRPr="001116C5">
              <w:rPr>
                <w:rFonts w:asciiTheme="minorHAnsi" w:hAnsiTheme="minorHAnsi" w:cstheme="minorHAnsi"/>
                <w:i/>
                <w:iCs/>
                <w:color w:val="000000"/>
                <w:szCs w:val="22"/>
              </w:rPr>
              <w:t> </w:t>
            </w:r>
          </w:p>
        </w:tc>
        <w:tc>
          <w:tcPr>
            <w:tcW w:w="1134" w:type="dxa"/>
            <w:tcBorders>
              <w:top w:val="nil"/>
              <w:left w:val="nil"/>
              <w:bottom w:val="nil"/>
              <w:right w:val="nil"/>
            </w:tcBorders>
            <w:shd w:val="clear" w:color="auto" w:fill="auto"/>
            <w:vAlign w:val="center"/>
          </w:tcPr>
          <w:p w14:paraId="47345B4B"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972.175</w:t>
            </w:r>
          </w:p>
        </w:tc>
        <w:tc>
          <w:tcPr>
            <w:tcW w:w="284" w:type="dxa"/>
            <w:tcBorders>
              <w:top w:val="nil"/>
              <w:left w:val="nil"/>
              <w:bottom w:val="nil"/>
              <w:right w:val="nil"/>
            </w:tcBorders>
            <w:shd w:val="clear" w:color="auto" w:fill="auto"/>
            <w:noWrap/>
            <w:vAlign w:val="bottom"/>
          </w:tcPr>
          <w:p w14:paraId="3E9F2A95"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nil"/>
              <w:right w:val="nil"/>
            </w:tcBorders>
            <w:shd w:val="clear" w:color="auto" w:fill="auto"/>
            <w:vAlign w:val="center"/>
          </w:tcPr>
          <w:p w14:paraId="7B3163E7"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1.448.651</w:t>
            </w:r>
          </w:p>
        </w:tc>
        <w:tc>
          <w:tcPr>
            <w:tcW w:w="283" w:type="dxa"/>
            <w:tcBorders>
              <w:top w:val="nil"/>
              <w:left w:val="nil"/>
              <w:bottom w:val="nil"/>
              <w:right w:val="nil"/>
            </w:tcBorders>
            <w:shd w:val="clear" w:color="auto" w:fill="auto"/>
            <w:vAlign w:val="center"/>
          </w:tcPr>
          <w:p w14:paraId="30D28397"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nil"/>
              <w:right w:val="nil"/>
            </w:tcBorders>
            <w:shd w:val="clear" w:color="auto" w:fill="auto"/>
            <w:vAlign w:val="center"/>
          </w:tcPr>
          <w:p w14:paraId="170EF64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476.476</w:t>
            </w:r>
          </w:p>
        </w:tc>
        <w:tc>
          <w:tcPr>
            <w:tcW w:w="284" w:type="dxa"/>
            <w:tcBorders>
              <w:top w:val="nil"/>
              <w:left w:val="nil"/>
              <w:bottom w:val="nil"/>
              <w:right w:val="nil"/>
            </w:tcBorders>
            <w:shd w:val="clear" w:color="auto" w:fill="auto"/>
            <w:vAlign w:val="center"/>
          </w:tcPr>
          <w:p w14:paraId="340A9AAC"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vAlign w:val="center"/>
          </w:tcPr>
          <w:p w14:paraId="15DC77A7"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149,0</w:t>
            </w:r>
          </w:p>
        </w:tc>
      </w:tr>
      <w:tr w:rsidR="00E818F7" w:rsidRPr="001116C5" w14:paraId="36D8A66C" w14:textId="77777777" w:rsidTr="0086616B">
        <w:trPr>
          <w:trHeight w:val="340"/>
        </w:trPr>
        <w:tc>
          <w:tcPr>
            <w:tcW w:w="2694" w:type="dxa"/>
            <w:tcBorders>
              <w:top w:val="nil"/>
              <w:left w:val="nil"/>
              <w:bottom w:val="nil"/>
              <w:right w:val="nil"/>
            </w:tcBorders>
            <w:shd w:val="clear" w:color="000000" w:fill="FFFFFF"/>
            <w:vAlign w:val="center"/>
            <w:hideMark/>
          </w:tcPr>
          <w:p w14:paraId="490C75F7" w14:textId="77777777" w:rsidR="00E818F7" w:rsidRPr="001116C5" w:rsidRDefault="00E818F7" w:rsidP="0086616B">
            <w:pPr>
              <w:rPr>
                <w:rFonts w:asciiTheme="minorHAnsi" w:hAnsiTheme="minorHAnsi" w:cstheme="minorHAnsi"/>
                <w:color w:val="000000"/>
                <w:szCs w:val="22"/>
                <w:lang w:val="en-US"/>
              </w:rPr>
            </w:pPr>
            <w:r w:rsidRPr="001116C5">
              <w:rPr>
                <w:rFonts w:asciiTheme="minorHAnsi" w:hAnsiTheme="minorHAnsi" w:cstheme="minorHAnsi"/>
                <w:color w:val="000000"/>
                <w:szCs w:val="22"/>
                <w:lang w:val="en-US"/>
              </w:rPr>
              <w:t>Ukupni rashodi</w:t>
            </w:r>
          </w:p>
        </w:tc>
        <w:tc>
          <w:tcPr>
            <w:tcW w:w="1134" w:type="dxa"/>
            <w:tcBorders>
              <w:top w:val="nil"/>
              <w:left w:val="nil"/>
              <w:bottom w:val="nil"/>
              <w:right w:val="nil"/>
            </w:tcBorders>
            <w:shd w:val="clear" w:color="auto" w:fill="auto"/>
            <w:vAlign w:val="center"/>
            <w:hideMark/>
          </w:tcPr>
          <w:p w14:paraId="7E166708"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AOP 148</w:t>
            </w:r>
          </w:p>
        </w:tc>
        <w:tc>
          <w:tcPr>
            <w:tcW w:w="283" w:type="dxa"/>
            <w:tcBorders>
              <w:top w:val="nil"/>
              <w:left w:val="nil"/>
              <w:bottom w:val="nil"/>
              <w:right w:val="nil"/>
            </w:tcBorders>
            <w:shd w:val="clear" w:color="000000" w:fill="FFFFFF"/>
            <w:noWrap/>
            <w:vAlign w:val="center"/>
            <w:hideMark/>
          </w:tcPr>
          <w:p w14:paraId="3C7BAA19" w14:textId="77777777" w:rsidR="00E818F7" w:rsidRPr="001116C5" w:rsidRDefault="00E818F7" w:rsidP="0086616B">
            <w:pPr>
              <w:jc w:val="center"/>
              <w:rPr>
                <w:rFonts w:asciiTheme="minorHAnsi" w:hAnsiTheme="minorHAnsi" w:cstheme="minorHAnsi"/>
                <w:i/>
                <w:iCs/>
                <w:color w:val="000000"/>
                <w:szCs w:val="22"/>
              </w:rPr>
            </w:pPr>
            <w:r w:rsidRPr="001116C5">
              <w:rPr>
                <w:rFonts w:asciiTheme="minorHAnsi" w:hAnsiTheme="minorHAnsi" w:cstheme="minorHAnsi"/>
                <w:i/>
                <w:iCs/>
                <w:color w:val="000000"/>
                <w:szCs w:val="22"/>
              </w:rPr>
              <w:t> </w:t>
            </w:r>
          </w:p>
        </w:tc>
        <w:tc>
          <w:tcPr>
            <w:tcW w:w="1134" w:type="dxa"/>
            <w:tcBorders>
              <w:top w:val="nil"/>
              <w:left w:val="nil"/>
              <w:bottom w:val="nil"/>
              <w:right w:val="nil"/>
            </w:tcBorders>
            <w:shd w:val="clear" w:color="auto" w:fill="auto"/>
            <w:vAlign w:val="center"/>
          </w:tcPr>
          <w:p w14:paraId="6F395539"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973.389</w:t>
            </w:r>
          </w:p>
        </w:tc>
        <w:tc>
          <w:tcPr>
            <w:tcW w:w="284" w:type="dxa"/>
            <w:tcBorders>
              <w:top w:val="nil"/>
              <w:left w:val="nil"/>
              <w:bottom w:val="nil"/>
              <w:right w:val="nil"/>
            </w:tcBorders>
            <w:shd w:val="clear" w:color="auto" w:fill="auto"/>
            <w:vAlign w:val="center"/>
          </w:tcPr>
          <w:p w14:paraId="05876B3D"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nil"/>
              <w:right w:val="nil"/>
            </w:tcBorders>
            <w:shd w:val="clear" w:color="auto" w:fill="auto"/>
            <w:vAlign w:val="center"/>
          </w:tcPr>
          <w:p w14:paraId="3729BCA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1.473.039</w:t>
            </w:r>
          </w:p>
        </w:tc>
        <w:tc>
          <w:tcPr>
            <w:tcW w:w="283" w:type="dxa"/>
            <w:tcBorders>
              <w:top w:val="nil"/>
              <w:left w:val="nil"/>
              <w:bottom w:val="nil"/>
              <w:right w:val="nil"/>
            </w:tcBorders>
            <w:shd w:val="clear" w:color="auto" w:fill="auto"/>
            <w:vAlign w:val="center"/>
          </w:tcPr>
          <w:p w14:paraId="5736528A"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nil"/>
              <w:right w:val="nil"/>
            </w:tcBorders>
            <w:shd w:val="clear" w:color="auto" w:fill="auto"/>
            <w:vAlign w:val="center"/>
          </w:tcPr>
          <w:p w14:paraId="5A09611B"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499.650</w:t>
            </w:r>
          </w:p>
        </w:tc>
        <w:tc>
          <w:tcPr>
            <w:tcW w:w="284" w:type="dxa"/>
            <w:tcBorders>
              <w:top w:val="nil"/>
              <w:left w:val="nil"/>
              <w:bottom w:val="nil"/>
              <w:right w:val="nil"/>
            </w:tcBorders>
            <w:shd w:val="clear" w:color="auto" w:fill="auto"/>
            <w:vAlign w:val="center"/>
          </w:tcPr>
          <w:p w14:paraId="34DF3502"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vAlign w:val="center"/>
          </w:tcPr>
          <w:p w14:paraId="72014C4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151,3</w:t>
            </w:r>
          </w:p>
        </w:tc>
      </w:tr>
      <w:tr w:rsidR="00E818F7" w:rsidRPr="001116C5" w14:paraId="43A00B21" w14:textId="77777777" w:rsidTr="0086616B">
        <w:trPr>
          <w:trHeight w:val="340"/>
        </w:trPr>
        <w:tc>
          <w:tcPr>
            <w:tcW w:w="2694" w:type="dxa"/>
            <w:tcBorders>
              <w:top w:val="nil"/>
              <w:left w:val="nil"/>
              <w:bottom w:val="nil"/>
              <w:right w:val="nil"/>
            </w:tcBorders>
            <w:shd w:val="clear" w:color="000000" w:fill="FFFFFF"/>
            <w:vAlign w:val="center"/>
            <w:hideMark/>
          </w:tcPr>
          <w:p w14:paraId="30755AAC" w14:textId="77777777" w:rsidR="00E818F7" w:rsidRPr="001116C5" w:rsidRDefault="00E818F7" w:rsidP="0086616B">
            <w:pPr>
              <w:rPr>
                <w:rFonts w:asciiTheme="minorHAnsi" w:hAnsiTheme="minorHAnsi" w:cstheme="minorHAnsi"/>
                <w:color w:val="000000"/>
                <w:szCs w:val="22"/>
                <w:lang w:val="en-US"/>
              </w:rPr>
            </w:pPr>
            <w:r w:rsidRPr="001116C5">
              <w:rPr>
                <w:rFonts w:asciiTheme="minorHAnsi" w:hAnsiTheme="minorHAnsi" w:cstheme="minorHAnsi"/>
                <w:color w:val="000000"/>
                <w:szCs w:val="22"/>
                <w:lang w:val="en-US"/>
              </w:rPr>
              <w:t>(Manjak) / Višak prihoda tekuće godine</w:t>
            </w:r>
          </w:p>
        </w:tc>
        <w:tc>
          <w:tcPr>
            <w:tcW w:w="1134" w:type="dxa"/>
            <w:tcBorders>
              <w:top w:val="nil"/>
              <w:left w:val="nil"/>
              <w:bottom w:val="nil"/>
              <w:right w:val="nil"/>
            </w:tcBorders>
            <w:shd w:val="clear" w:color="auto" w:fill="auto"/>
            <w:vAlign w:val="center"/>
            <w:hideMark/>
          </w:tcPr>
          <w:p w14:paraId="21243F5E"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AOP 149 / (AOP 150)</w:t>
            </w:r>
          </w:p>
        </w:tc>
        <w:tc>
          <w:tcPr>
            <w:tcW w:w="283" w:type="dxa"/>
            <w:tcBorders>
              <w:top w:val="nil"/>
              <w:left w:val="nil"/>
              <w:bottom w:val="nil"/>
              <w:right w:val="nil"/>
            </w:tcBorders>
            <w:shd w:val="clear" w:color="000000" w:fill="FFFFFF"/>
            <w:noWrap/>
            <w:vAlign w:val="center"/>
            <w:hideMark/>
          </w:tcPr>
          <w:p w14:paraId="069FCC8C" w14:textId="77777777" w:rsidR="00E818F7" w:rsidRPr="001116C5" w:rsidRDefault="00E818F7" w:rsidP="0086616B">
            <w:pPr>
              <w:jc w:val="center"/>
              <w:rPr>
                <w:rFonts w:asciiTheme="minorHAnsi" w:hAnsiTheme="minorHAnsi" w:cstheme="minorHAnsi"/>
                <w:i/>
                <w:iCs/>
                <w:color w:val="000000"/>
                <w:szCs w:val="22"/>
              </w:rPr>
            </w:pPr>
            <w:r w:rsidRPr="001116C5">
              <w:rPr>
                <w:rFonts w:asciiTheme="minorHAnsi" w:hAnsiTheme="minorHAnsi" w:cstheme="minorHAnsi"/>
                <w:i/>
                <w:iCs/>
                <w:color w:val="000000"/>
                <w:szCs w:val="22"/>
              </w:rPr>
              <w:t> </w:t>
            </w:r>
          </w:p>
        </w:tc>
        <w:tc>
          <w:tcPr>
            <w:tcW w:w="1134" w:type="dxa"/>
            <w:tcBorders>
              <w:top w:val="nil"/>
              <w:left w:val="nil"/>
              <w:bottom w:val="nil"/>
              <w:right w:val="nil"/>
            </w:tcBorders>
            <w:shd w:val="clear" w:color="auto" w:fill="auto"/>
            <w:vAlign w:val="center"/>
          </w:tcPr>
          <w:p w14:paraId="3B76D0B4"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(1.214)</w:t>
            </w:r>
          </w:p>
        </w:tc>
        <w:tc>
          <w:tcPr>
            <w:tcW w:w="284" w:type="dxa"/>
            <w:tcBorders>
              <w:top w:val="nil"/>
              <w:left w:val="nil"/>
              <w:bottom w:val="nil"/>
              <w:right w:val="nil"/>
            </w:tcBorders>
            <w:shd w:val="clear" w:color="auto" w:fill="auto"/>
            <w:vAlign w:val="center"/>
          </w:tcPr>
          <w:p w14:paraId="58316BEC"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nil"/>
              <w:right w:val="nil"/>
            </w:tcBorders>
            <w:shd w:val="clear" w:color="auto" w:fill="auto"/>
            <w:vAlign w:val="center"/>
          </w:tcPr>
          <w:p w14:paraId="7B06111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(24.388)</w:t>
            </w:r>
          </w:p>
        </w:tc>
        <w:tc>
          <w:tcPr>
            <w:tcW w:w="283" w:type="dxa"/>
            <w:tcBorders>
              <w:top w:val="nil"/>
              <w:left w:val="nil"/>
              <w:bottom w:val="nil"/>
              <w:right w:val="nil"/>
            </w:tcBorders>
            <w:shd w:val="clear" w:color="auto" w:fill="auto"/>
            <w:vAlign w:val="center"/>
          </w:tcPr>
          <w:p w14:paraId="32CB0084"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nil"/>
              <w:right w:val="nil"/>
            </w:tcBorders>
            <w:shd w:val="clear" w:color="auto" w:fill="auto"/>
            <w:vAlign w:val="center"/>
          </w:tcPr>
          <w:p w14:paraId="30DF9B59"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(23.174)</w:t>
            </w:r>
          </w:p>
        </w:tc>
        <w:tc>
          <w:tcPr>
            <w:tcW w:w="284" w:type="dxa"/>
            <w:tcBorders>
              <w:top w:val="nil"/>
              <w:left w:val="nil"/>
              <w:bottom w:val="nil"/>
              <w:right w:val="nil"/>
            </w:tcBorders>
            <w:shd w:val="clear" w:color="auto" w:fill="auto"/>
            <w:vAlign w:val="center"/>
          </w:tcPr>
          <w:p w14:paraId="0D57858B"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nil"/>
              <w:right w:val="nil"/>
            </w:tcBorders>
            <w:shd w:val="clear" w:color="auto" w:fill="auto"/>
            <w:vAlign w:val="center"/>
          </w:tcPr>
          <w:p w14:paraId="71AAE1A9"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2.008,9</w:t>
            </w:r>
          </w:p>
        </w:tc>
      </w:tr>
      <w:tr w:rsidR="00E818F7" w:rsidRPr="001116C5" w14:paraId="204C925F" w14:textId="77777777" w:rsidTr="0086616B">
        <w:trPr>
          <w:trHeight w:val="340"/>
        </w:trPr>
        <w:tc>
          <w:tcPr>
            <w:tcW w:w="2694" w:type="dxa"/>
            <w:tcBorders>
              <w:top w:val="nil"/>
              <w:left w:val="nil"/>
              <w:bottom w:val="nil"/>
              <w:right w:val="nil"/>
            </w:tcBorders>
            <w:shd w:val="clear" w:color="000000" w:fill="FFFFFF"/>
            <w:vAlign w:val="center"/>
            <w:hideMark/>
          </w:tcPr>
          <w:p w14:paraId="6DD7B8D8" w14:textId="77777777" w:rsidR="00E818F7" w:rsidRPr="001116C5" w:rsidRDefault="00E818F7" w:rsidP="0086616B">
            <w:pPr>
              <w:rPr>
                <w:rFonts w:asciiTheme="minorHAnsi" w:hAnsiTheme="minorHAnsi" w:cstheme="minorHAnsi"/>
                <w:color w:val="000000"/>
                <w:szCs w:val="22"/>
                <w:lang w:val="en-US"/>
              </w:rPr>
            </w:pPr>
            <w:r w:rsidRPr="001116C5">
              <w:rPr>
                <w:rFonts w:asciiTheme="minorHAnsi" w:hAnsiTheme="minorHAnsi" w:cstheme="minorHAnsi"/>
                <w:color w:val="000000"/>
                <w:szCs w:val="22"/>
                <w:lang w:val="en-US"/>
              </w:rPr>
              <w:t xml:space="preserve">Višak prihoda - preneseni  </w:t>
            </w:r>
          </w:p>
        </w:tc>
        <w:tc>
          <w:tcPr>
            <w:tcW w:w="1134" w:type="dxa"/>
            <w:tcBorders>
              <w:top w:val="nil"/>
              <w:left w:val="nil"/>
              <w:bottom w:val="nil"/>
              <w:right w:val="nil"/>
            </w:tcBorders>
            <w:shd w:val="clear" w:color="auto" w:fill="auto"/>
            <w:vAlign w:val="center"/>
            <w:hideMark/>
          </w:tcPr>
          <w:p w14:paraId="07DB17BB"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AOP 151</w:t>
            </w:r>
          </w:p>
        </w:tc>
        <w:tc>
          <w:tcPr>
            <w:tcW w:w="283" w:type="dxa"/>
            <w:tcBorders>
              <w:top w:val="nil"/>
              <w:left w:val="nil"/>
              <w:bottom w:val="nil"/>
              <w:right w:val="nil"/>
            </w:tcBorders>
            <w:shd w:val="clear" w:color="000000" w:fill="FFFFFF"/>
            <w:noWrap/>
            <w:vAlign w:val="center"/>
            <w:hideMark/>
          </w:tcPr>
          <w:p w14:paraId="7B2A0BB7" w14:textId="77777777" w:rsidR="00E818F7" w:rsidRPr="001116C5" w:rsidRDefault="00E818F7" w:rsidP="0086616B">
            <w:pPr>
              <w:jc w:val="center"/>
              <w:rPr>
                <w:rFonts w:asciiTheme="minorHAnsi" w:hAnsiTheme="minorHAnsi" w:cstheme="minorHAnsi"/>
                <w:i/>
                <w:iCs/>
                <w:color w:val="000000"/>
                <w:szCs w:val="22"/>
              </w:rPr>
            </w:pPr>
            <w:r w:rsidRPr="001116C5">
              <w:rPr>
                <w:rFonts w:asciiTheme="minorHAnsi" w:hAnsiTheme="minorHAnsi" w:cstheme="minorHAnsi"/>
                <w:i/>
                <w:iCs/>
                <w:color w:val="000000"/>
                <w:szCs w:val="22"/>
              </w:rPr>
              <w:t> </w:t>
            </w:r>
          </w:p>
        </w:tc>
        <w:tc>
          <w:tcPr>
            <w:tcW w:w="1134" w:type="dxa"/>
            <w:tcBorders>
              <w:top w:val="nil"/>
              <w:left w:val="nil"/>
              <w:bottom w:val="single" w:sz="12" w:space="0" w:color="auto"/>
              <w:right w:val="nil"/>
            </w:tcBorders>
            <w:shd w:val="clear" w:color="auto" w:fill="auto"/>
            <w:vAlign w:val="center"/>
          </w:tcPr>
          <w:p w14:paraId="171060D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46.192</w:t>
            </w:r>
          </w:p>
        </w:tc>
        <w:tc>
          <w:tcPr>
            <w:tcW w:w="284" w:type="dxa"/>
            <w:tcBorders>
              <w:top w:val="nil"/>
              <w:left w:val="nil"/>
              <w:bottom w:val="nil"/>
              <w:right w:val="nil"/>
            </w:tcBorders>
            <w:shd w:val="clear" w:color="auto" w:fill="auto"/>
            <w:vAlign w:val="center"/>
          </w:tcPr>
          <w:p w14:paraId="6A5F1D25"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single" w:sz="12" w:space="0" w:color="auto"/>
              <w:right w:val="nil"/>
            </w:tcBorders>
            <w:shd w:val="clear" w:color="auto" w:fill="auto"/>
            <w:vAlign w:val="center"/>
          </w:tcPr>
          <w:p w14:paraId="5DEE11DF"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44.978</w:t>
            </w:r>
          </w:p>
        </w:tc>
        <w:tc>
          <w:tcPr>
            <w:tcW w:w="283" w:type="dxa"/>
            <w:tcBorders>
              <w:top w:val="nil"/>
              <w:left w:val="nil"/>
              <w:bottom w:val="nil"/>
              <w:right w:val="nil"/>
            </w:tcBorders>
            <w:shd w:val="clear" w:color="auto" w:fill="auto"/>
            <w:vAlign w:val="center"/>
          </w:tcPr>
          <w:p w14:paraId="11307467"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single" w:sz="12" w:space="0" w:color="auto"/>
              <w:right w:val="nil"/>
            </w:tcBorders>
            <w:shd w:val="clear" w:color="auto" w:fill="auto"/>
            <w:vAlign w:val="center"/>
          </w:tcPr>
          <w:p w14:paraId="0AEE4579"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(1.214)</w:t>
            </w:r>
          </w:p>
        </w:tc>
        <w:tc>
          <w:tcPr>
            <w:tcW w:w="284" w:type="dxa"/>
            <w:tcBorders>
              <w:top w:val="nil"/>
              <w:left w:val="nil"/>
              <w:bottom w:val="nil"/>
              <w:right w:val="nil"/>
            </w:tcBorders>
            <w:shd w:val="clear" w:color="auto" w:fill="auto"/>
            <w:vAlign w:val="center"/>
          </w:tcPr>
          <w:p w14:paraId="71EBF351" w14:textId="77777777" w:rsidR="00E818F7" w:rsidRPr="001116C5" w:rsidRDefault="00E818F7" w:rsidP="0086616B">
            <w:pPr>
              <w:jc w:val="right"/>
              <w:rPr>
                <w:rFonts w:asciiTheme="minorHAnsi" w:hAnsiTheme="minorHAnsi" w:cstheme="minorHAnsi"/>
                <w:color w:val="000000"/>
                <w:szCs w:val="22"/>
              </w:rPr>
            </w:pPr>
          </w:p>
        </w:tc>
        <w:tc>
          <w:tcPr>
            <w:tcW w:w="992" w:type="dxa"/>
            <w:tcBorders>
              <w:top w:val="nil"/>
              <w:left w:val="nil"/>
              <w:bottom w:val="single" w:sz="12" w:space="0" w:color="auto"/>
              <w:right w:val="nil"/>
            </w:tcBorders>
            <w:shd w:val="clear" w:color="auto" w:fill="auto"/>
            <w:vAlign w:val="center"/>
          </w:tcPr>
          <w:p w14:paraId="03E26BC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97,4</w:t>
            </w:r>
          </w:p>
        </w:tc>
      </w:tr>
      <w:tr w:rsidR="00E818F7" w:rsidRPr="001116C5" w14:paraId="7BB45165" w14:textId="77777777" w:rsidTr="0086616B">
        <w:trPr>
          <w:trHeight w:val="340"/>
        </w:trPr>
        <w:tc>
          <w:tcPr>
            <w:tcW w:w="2694" w:type="dxa"/>
            <w:tcBorders>
              <w:top w:val="nil"/>
              <w:left w:val="nil"/>
              <w:bottom w:val="nil"/>
              <w:right w:val="nil"/>
            </w:tcBorders>
            <w:shd w:val="clear" w:color="000000" w:fill="FFFFFF"/>
            <w:vAlign w:val="center"/>
            <w:hideMark/>
          </w:tcPr>
          <w:p w14:paraId="34981663" w14:textId="77777777" w:rsidR="00E818F7" w:rsidRPr="001116C5" w:rsidRDefault="00E818F7" w:rsidP="0086616B">
            <w:pPr>
              <w:rPr>
                <w:rFonts w:asciiTheme="minorHAnsi" w:hAnsiTheme="minorHAnsi" w:cstheme="minorHAnsi"/>
                <w:b/>
                <w:bCs/>
                <w:color w:val="000000"/>
                <w:szCs w:val="22"/>
                <w:lang w:val="en-US"/>
              </w:rPr>
            </w:pPr>
            <w:r w:rsidRPr="001116C5">
              <w:rPr>
                <w:rFonts w:asciiTheme="minorHAnsi" w:hAnsiTheme="minorHAnsi" w:cstheme="minorHAnsi"/>
                <w:b/>
                <w:bCs/>
                <w:color w:val="000000"/>
                <w:szCs w:val="22"/>
                <w:lang w:val="en-US"/>
              </w:rPr>
              <w:t xml:space="preserve">(Manjak) / Višak prihoda raspoloživ u sljedećem razdoblju </w:t>
            </w:r>
          </w:p>
        </w:tc>
        <w:tc>
          <w:tcPr>
            <w:tcW w:w="1134" w:type="dxa"/>
            <w:tcBorders>
              <w:top w:val="nil"/>
              <w:left w:val="nil"/>
              <w:bottom w:val="nil"/>
              <w:right w:val="nil"/>
            </w:tcBorders>
            <w:shd w:val="clear" w:color="auto" w:fill="auto"/>
            <w:vAlign w:val="center"/>
            <w:hideMark/>
          </w:tcPr>
          <w:p w14:paraId="499F9F91"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 xml:space="preserve">AOP 154/ (AOP 155) </w:t>
            </w:r>
          </w:p>
        </w:tc>
        <w:tc>
          <w:tcPr>
            <w:tcW w:w="283" w:type="dxa"/>
            <w:tcBorders>
              <w:top w:val="nil"/>
              <w:left w:val="nil"/>
              <w:bottom w:val="nil"/>
              <w:right w:val="nil"/>
            </w:tcBorders>
            <w:shd w:val="clear" w:color="000000" w:fill="FFFFFF"/>
            <w:noWrap/>
            <w:vAlign w:val="center"/>
            <w:hideMark/>
          </w:tcPr>
          <w:p w14:paraId="0BB96215" w14:textId="77777777" w:rsidR="00E818F7" w:rsidRPr="001116C5" w:rsidRDefault="00E818F7" w:rsidP="0086616B">
            <w:pPr>
              <w:jc w:val="center"/>
              <w:rPr>
                <w:rFonts w:asciiTheme="minorHAnsi" w:hAnsiTheme="minorHAnsi" w:cstheme="minorHAnsi"/>
                <w:b/>
                <w:bCs/>
                <w:i/>
                <w:iCs/>
                <w:color w:val="000000"/>
                <w:szCs w:val="22"/>
              </w:rPr>
            </w:pPr>
            <w:r w:rsidRPr="001116C5">
              <w:rPr>
                <w:rFonts w:asciiTheme="minorHAnsi" w:hAnsiTheme="minorHAnsi" w:cstheme="minorHAnsi"/>
                <w:b/>
                <w:bCs/>
                <w:i/>
                <w:iCs/>
                <w:color w:val="000000"/>
                <w:szCs w:val="22"/>
              </w:rPr>
              <w:t> </w:t>
            </w:r>
          </w:p>
        </w:tc>
        <w:tc>
          <w:tcPr>
            <w:tcW w:w="1134" w:type="dxa"/>
            <w:tcBorders>
              <w:top w:val="single" w:sz="12" w:space="0" w:color="auto"/>
              <w:left w:val="nil"/>
              <w:bottom w:val="single" w:sz="12" w:space="0" w:color="auto"/>
              <w:right w:val="nil"/>
            </w:tcBorders>
            <w:shd w:val="clear" w:color="auto" w:fill="auto"/>
            <w:noWrap/>
            <w:vAlign w:val="center"/>
          </w:tcPr>
          <w:p w14:paraId="61F48263"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44.978</w:t>
            </w:r>
          </w:p>
        </w:tc>
        <w:tc>
          <w:tcPr>
            <w:tcW w:w="284" w:type="dxa"/>
            <w:tcBorders>
              <w:top w:val="nil"/>
              <w:left w:val="nil"/>
              <w:bottom w:val="nil"/>
              <w:right w:val="nil"/>
            </w:tcBorders>
            <w:shd w:val="clear" w:color="auto" w:fill="auto"/>
            <w:vAlign w:val="center"/>
          </w:tcPr>
          <w:p w14:paraId="7C3B0A18" w14:textId="77777777" w:rsidR="00E818F7" w:rsidRPr="001116C5" w:rsidRDefault="00E818F7" w:rsidP="0086616B">
            <w:pPr>
              <w:jc w:val="right"/>
              <w:rPr>
                <w:rFonts w:asciiTheme="minorHAnsi" w:hAnsiTheme="minorHAnsi" w:cstheme="minorHAnsi"/>
                <w:b/>
                <w:bCs/>
                <w:color w:val="000000"/>
                <w:szCs w:val="22"/>
              </w:rPr>
            </w:pPr>
          </w:p>
        </w:tc>
        <w:tc>
          <w:tcPr>
            <w:tcW w:w="1134" w:type="dxa"/>
            <w:tcBorders>
              <w:top w:val="single" w:sz="12" w:space="0" w:color="auto"/>
              <w:left w:val="nil"/>
              <w:bottom w:val="single" w:sz="12" w:space="0" w:color="auto"/>
              <w:right w:val="nil"/>
            </w:tcBorders>
            <w:shd w:val="clear" w:color="auto" w:fill="auto"/>
            <w:noWrap/>
            <w:vAlign w:val="center"/>
          </w:tcPr>
          <w:p w14:paraId="7FFF3DC4"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20.590</w:t>
            </w:r>
          </w:p>
        </w:tc>
        <w:tc>
          <w:tcPr>
            <w:tcW w:w="283" w:type="dxa"/>
            <w:tcBorders>
              <w:top w:val="nil"/>
              <w:left w:val="nil"/>
              <w:bottom w:val="nil"/>
              <w:right w:val="nil"/>
            </w:tcBorders>
            <w:shd w:val="clear" w:color="auto" w:fill="auto"/>
            <w:noWrap/>
            <w:vAlign w:val="center"/>
          </w:tcPr>
          <w:p w14:paraId="7DF17C90" w14:textId="77777777" w:rsidR="00E818F7" w:rsidRPr="001116C5" w:rsidRDefault="00E818F7" w:rsidP="0086616B">
            <w:pPr>
              <w:jc w:val="right"/>
              <w:rPr>
                <w:rFonts w:asciiTheme="minorHAnsi" w:hAnsiTheme="minorHAnsi" w:cstheme="minorHAnsi"/>
                <w:b/>
                <w:bCs/>
                <w:color w:val="000000"/>
                <w:szCs w:val="22"/>
              </w:rPr>
            </w:pPr>
          </w:p>
        </w:tc>
        <w:tc>
          <w:tcPr>
            <w:tcW w:w="1134" w:type="dxa"/>
            <w:tcBorders>
              <w:top w:val="single" w:sz="12" w:space="0" w:color="auto"/>
              <w:left w:val="nil"/>
              <w:bottom w:val="single" w:sz="12" w:space="0" w:color="auto"/>
              <w:right w:val="nil"/>
            </w:tcBorders>
            <w:shd w:val="clear" w:color="auto" w:fill="auto"/>
            <w:noWrap/>
            <w:vAlign w:val="center"/>
          </w:tcPr>
          <w:p w14:paraId="3444A3F6"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(24.388)</w:t>
            </w:r>
          </w:p>
        </w:tc>
        <w:tc>
          <w:tcPr>
            <w:tcW w:w="284" w:type="dxa"/>
            <w:tcBorders>
              <w:top w:val="nil"/>
              <w:left w:val="nil"/>
              <w:bottom w:val="nil"/>
              <w:right w:val="nil"/>
            </w:tcBorders>
            <w:shd w:val="clear" w:color="auto" w:fill="auto"/>
            <w:noWrap/>
            <w:vAlign w:val="center"/>
          </w:tcPr>
          <w:p w14:paraId="4852F3C0" w14:textId="77777777" w:rsidR="00E818F7" w:rsidRPr="001116C5" w:rsidRDefault="00E818F7" w:rsidP="0086616B">
            <w:pPr>
              <w:jc w:val="right"/>
              <w:rPr>
                <w:rFonts w:asciiTheme="minorHAnsi" w:hAnsiTheme="minorHAnsi" w:cstheme="minorHAnsi"/>
                <w:b/>
                <w:bCs/>
                <w:color w:val="000000"/>
                <w:szCs w:val="22"/>
              </w:rPr>
            </w:pPr>
          </w:p>
        </w:tc>
        <w:tc>
          <w:tcPr>
            <w:tcW w:w="992" w:type="dxa"/>
            <w:tcBorders>
              <w:top w:val="single" w:sz="12" w:space="0" w:color="auto"/>
              <w:left w:val="nil"/>
              <w:bottom w:val="single" w:sz="12" w:space="0" w:color="auto"/>
              <w:right w:val="nil"/>
            </w:tcBorders>
            <w:shd w:val="clear" w:color="auto" w:fill="auto"/>
            <w:noWrap/>
            <w:vAlign w:val="center"/>
          </w:tcPr>
          <w:p w14:paraId="315DEF5B"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45,8</w:t>
            </w:r>
          </w:p>
        </w:tc>
      </w:tr>
    </w:tbl>
    <w:p w14:paraId="4FA379A4"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rPr>
      </w:pPr>
    </w:p>
    <w:p w14:paraId="4D7E5C6C" w14:textId="77777777" w:rsidR="00E818F7" w:rsidRPr="001116C5" w:rsidRDefault="00E818F7" w:rsidP="00E818F7">
      <w:pPr>
        <w:pStyle w:val="NoSpacing"/>
        <w:rPr>
          <w:rFonts w:asciiTheme="minorHAnsi" w:hAnsiTheme="minorHAnsi" w:cstheme="minorHAnsi"/>
          <w:sz w:val="22"/>
          <w:szCs w:val="22"/>
        </w:rPr>
      </w:pPr>
    </w:p>
    <w:p w14:paraId="03AC7EE5"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highlight w:val="yellow"/>
          <w:lang w:val="hr-HR"/>
        </w:rPr>
      </w:pPr>
      <w:r w:rsidRPr="001116C5">
        <w:rPr>
          <w:rFonts w:asciiTheme="minorHAnsi" w:hAnsiTheme="minorHAnsi" w:cstheme="minorHAnsi"/>
          <w:szCs w:val="22"/>
          <w:lang w:val="hr-HR"/>
        </w:rPr>
        <w:t xml:space="preserve">Ukupni prihodi i ukupni rashodi povećali su se u 2023. godini u odnosu na 2022. godinu zbog povećanog opsega poslovanja u 2023. godini.  </w:t>
      </w:r>
    </w:p>
    <w:p w14:paraId="0B8CBAA3"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r w:rsidRPr="001116C5">
        <w:rPr>
          <w:rFonts w:asciiTheme="minorHAnsi" w:hAnsiTheme="minorHAnsi" w:cstheme="minorHAnsi"/>
          <w:szCs w:val="22"/>
          <w:lang w:val="pt-PT"/>
        </w:rPr>
        <w:t xml:space="preserve">Centar ima dvogodišnje programe financiranja od strane UNEP-a. Obim aktivnosti i realizacije uvijek je veći u drugoj godini izvršenja programa, kao što je slučaj u 2023. godini.   </w:t>
      </w:r>
    </w:p>
    <w:p w14:paraId="30E0AF78"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pt-PT"/>
        </w:rPr>
      </w:pPr>
    </w:p>
    <w:p w14:paraId="19473B56"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szCs w:val="22"/>
          <w:lang w:val="hr-HR"/>
        </w:rPr>
      </w:pPr>
      <w:r w:rsidRPr="001116C5">
        <w:rPr>
          <w:rFonts w:asciiTheme="minorHAnsi" w:hAnsiTheme="minorHAnsi" w:cstheme="minorHAnsi"/>
          <w:szCs w:val="22"/>
          <w:lang w:val="hr-HR"/>
        </w:rPr>
        <w:t>U 2023. godini u odnosu na 2022. je ostvaren značajniji rast rashoda (rast od 51,3 %) nego rast prihoda (rast od 49 %), što je utjecalo na ostvarenje Manjka prihoda za tekuću 2023. godinu u iznosu od 24.388 EUR.</w:t>
      </w:r>
    </w:p>
    <w:p w14:paraId="386D04E4" w14:textId="77777777" w:rsidR="00E818F7" w:rsidRPr="001116C5" w:rsidRDefault="00E818F7" w:rsidP="00E818F7">
      <w:pPr>
        <w:pStyle w:val="NoSpacing"/>
        <w:rPr>
          <w:rFonts w:asciiTheme="minorHAnsi" w:hAnsiTheme="minorHAnsi" w:cstheme="minorHAnsi"/>
          <w:sz w:val="22"/>
          <w:szCs w:val="22"/>
        </w:rPr>
      </w:pPr>
    </w:p>
    <w:p w14:paraId="4961693B"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pt-PT"/>
        </w:rPr>
      </w:pPr>
      <w:r w:rsidRPr="001116C5">
        <w:rPr>
          <w:rFonts w:asciiTheme="minorHAnsi" w:hAnsiTheme="minorHAnsi" w:cstheme="minorHAnsi"/>
          <w:b/>
          <w:szCs w:val="22"/>
          <w:lang w:val="pt-PT"/>
        </w:rPr>
        <w:t xml:space="preserve">9.  </w:t>
      </w:r>
      <w:r w:rsidRPr="001116C5">
        <w:rPr>
          <w:rFonts w:asciiTheme="minorHAnsi" w:hAnsiTheme="minorHAnsi" w:cstheme="minorHAnsi"/>
          <w:b/>
          <w:szCs w:val="22"/>
          <w:lang w:val="pt-PT"/>
        </w:rPr>
        <w:tab/>
        <w:t>NEFINANCIJSKA IMOVINA</w:t>
      </w:r>
    </w:p>
    <w:p w14:paraId="390EE46F" w14:textId="77777777" w:rsidR="00E818F7" w:rsidRPr="001116C5" w:rsidRDefault="00E818F7" w:rsidP="00E818F7">
      <w:pPr>
        <w:pStyle w:val="NoSpacing"/>
        <w:rPr>
          <w:rFonts w:asciiTheme="minorHAnsi" w:hAnsiTheme="minorHAnsi" w:cstheme="minorHAnsi"/>
          <w:sz w:val="22"/>
          <w:szCs w:val="22"/>
          <w:highlight w:val="red"/>
        </w:rPr>
      </w:pPr>
    </w:p>
    <w:p w14:paraId="0B5E54AA" w14:textId="77777777" w:rsidR="00E818F7" w:rsidRPr="001116C5" w:rsidRDefault="00E818F7" w:rsidP="00E818F7">
      <w:pPr>
        <w:pStyle w:val="BodyText3"/>
        <w:rPr>
          <w:rFonts w:asciiTheme="minorHAnsi" w:hAnsiTheme="minorHAnsi" w:cstheme="minorHAnsi"/>
          <w:sz w:val="22"/>
          <w:szCs w:val="22"/>
          <w:lang w:val="hr-HR"/>
        </w:rPr>
      </w:pPr>
      <w:r w:rsidRPr="001116C5">
        <w:rPr>
          <w:rFonts w:asciiTheme="minorHAnsi" w:hAnsiTheme="minorHAnsi" w:cstheme="minorHAnsi"/>
          <w:sz w:val="22"/>
          <w:szCs w:val="22"/>
          <w:lang w:val="hr-HR"/>
        </w:rPr>
        <w:t xml:space="preserve">Nefinancijska imovina AOP 002 u vrijednosti od 32.731 EUR (31.12.2022. 36.492 EUR kn) na dan bilance, sastoji se od uredske opreme, namještaja, pokretne komunikacijske opreme, web stranica. </w:t>
      </w:r>
    </w:p>
    <w:p w14:paraId="3CE2A52C" w14:textId="77777777" w:rsidR="00E818F7" w:rsidRPr="001116C5" w:rsidRDefault="00E818F7" w:rsidP="00E818F7">
      <w:pPr>
        <w:pStyle w:val="NoSpacing"/>
        <w:rPr>
          <w:rFonts w:asciiTheme="minorHAnsi" w:hAnsiTheme="minorHAnsi" w:cstheme="minorHAnsi"/>
          <w:sz w:val="22"/>
          <w:szCs w:val="22"/>
          <w:lang w:eastAsia="hr-HR"/>
        </w:rPr>
      </w:pPr>
    </w:p>
    <w:p w14:paraId="5DE7514A" w14:textId="77777777" w:rsidR="00E818F7" w:rsidRPr="001116C5" w:rsidRDefault="00E818F7" w:rsidP="00E818F7">
      <w:pPr>
        <w:pStyle w:val="BodyText3"/>
        <w:rPr>
          <w:rFonts w:asciiTheme="minorHAnsi" w:hAnsiTheme="minorHAnsi" w:cstheme="minorHAnsi"/>
          <w:sz w:val="22"/>
          <w:szCs w:val="22"/>
          <w:lang w:val="hr-HR"/>
        </w:rPr>
      </w:pPr>
      <w:r w:rsidRPr="001116C5">
        <w:rPr>
          <w:rFonts w:asciiTheme="minorHAnsi" w:hAnsiTheme="minorHAnsi" w:cstheme="minorHAnsi"/>
          <w:sz w:val="22"/>
          <w:szCs w:val="22"/>
          <w:lang w:val="hr-HR"/>
        </w:rPr>
        <w:t>Smanjenje nefinancijske imovine u 2023. godini u odnosu na 2022. godinu iznosi 10,3 %, a rezultat je redovnog obračuna amortizacije (bilješka 6).</w:t>
      </w:r>
    </w:p>
    <w:p w14:paraId="450EB246" w14:textId="77777777" w:rsidR="00E818F7" w:rsidRPr="001116C5" w:rsidRDefault="00E818F7" w:rsidP="00E818F7">
      <w:pPr>
        <w:pStyle w:val="NoSpacing"/>
        <w:rPr>
          <w:rFonts w:asciiTheme="minorHAnsi" w:hAnsiTheme="minorHAnsi" w:cstheme="minorHAnsi"/>
          <w:sz w:val="22"/>
          <w:szCs w:val="22"/>
        </w:rPr>
      </w:pPr>
    </w:p>
    <w:p w14:paraId="5A38A1B8" w14:textId="77777777" w:rsidR="001116C5" w:rsidRDefault="001116C5">
      <w:pPr>
        <w:jc w:val="left"/>
        <w:rPr>
          <w:rFonts w:asciiTheme="minorHAnsi" w:hAnsiTheme="minorHAnsi" w:cstheme="minorHAnsi"/>
          <w:b/>
          <w:szCs w:val="22"/>
        </w:rPr>
      </w:pPr>
      <w:r>
        <w:rPr>
          <w:rFonts w:asciiTheme="minorHAnsi" w:hAnsiTheme="minorHAnsi" w:cstheme="minorHAnsi"/>
          <w:b/>
          <w:szCs w:val="22"/>
        </w:rPr>
        <w:br w:type="page"/>
      </w:r>
    </w:p>
    <w:p w14:paraId="5FDA05C3" w14:textId="2FEE0B6A"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rPr>
      </w:pPr>
      <w:r w:rsidRPr="001116C5">
        <w:rPr>
          <w:rFonts w:asciiTheme="minorHAnsi" w:hAnsiTheme="minorHAnsi" w:cstheme="minorHAnsi"/>
          <w:b/>
          <w:szCs w:val="22"/>
        </w:rPr>
        <w:lastRenderedPageBreak/>
        <w:t xml:space="preserve">10. </w:t>
      </w:r>
      <w:r w:rsidRPr="001116C5">
        <w:rPr>
          <w:rFonts w:asciiTheme="minorHAnsi" w:hAnsiTheme="minorHAnsi" w:cstheme="minorHAnsi"/>
          <w:b/>
          <w:szCs w:val="22"/>
        </w:rPr>
        <w:tab/>
        <w:t>NOVAC</w:t>
      </w:r>
    </w:p>
    <w:tbl>
      <w:tblPr>
        <w:tblW w:w="5092" w:type="pct"/>
        <w:tblLayout w:type="fixed"/>
        <w:tblLook w:val="04A0" w:firstRow="1" w:lastRow="0" w:firstColumn="1" w:lastColumn="0" w:noHBand="0" w:noVBand="1"/>
      </w:tblPr>
      <w:tblGrid>
        <w:gridCol w:w="2876"/>
        <w:gridCol w:w="1110"/>
        <w:gridCol w:w="276"/>
        <w:gridCol w:w="1246"/>
        <w:gridCol w:w="276"/>
        <w:gridCol w:w="1246"/>
        <w:gridCol w:w="276"/>
        <w:gridCol w:w="1088"/>
        <w:gridCol w:w="236"/>
        <w:gridCol w:w="898"/>
      </w:tblGrid>
      <w:tr w:rsidR="00E818F7" w:rsidRPr="001116C5" w14:paraId="0BE8E05D" w14:textId="77777777" w:rsidTr="0086616B">
        <w:trPr>
          <w:trHeight w:val="340"/>
        </w:trPr>
        <w:tc>
          <w:tcPr>
            <w:tcW w:w="1510" w:type="pct"/>
            <w:tcBorders>
              <w:top w:val="nil"/>
              <w:left w:val="nil"/>
              <w:bottom w:val="nil"/>
              <w:right w:val="nil"/>
            </w:tcBorders>
            <w:shd w:val="clear" w:color="auto" w:fill="auto"/>
            <w:noWrap/>
            <w:vAlign w:val="center"/>
            <w:hideMark/>
          </w:tcPr>
          <w:p w14:paraId="4A1BFDFA" w14:textId="77777777" w:rsidR="00E818F7" w:rsidRPr="001116C5" w:rsidRDefault="00E818F7" w:rsidP="0086616B">
            <w:pPr>
              <w:rPr>
                <w:rFonts w:asciiTheme="minorHAnsi" w:hAnsiTheme="minorHAnsi" w:cstheme="minorHAnsi"/>
                <w:szCs w:val="22"/>
              </w:rPr>
            </w:pPr>
          </w:p>
        </w:tc>
        <w:tc>
          <w:tcPr>
            <w:tcW w:w="583" w:type="pct"/>
            <w:tcBorders>
              <w:top w:val="nil"/>
              <w:left w:val="nil"/>
              <w:bottom w:val="nil"/>
              <w:right w:val="nil"/>
            </w:tcBorders>
            <w:shd w:val="clear" w:color="auto" w:fill="auto"/>
            <w:noWrap/>
            <w:vAlign w:val="center"/>
            <w:hideMark/>
          </w:tcPr>
          <w:p w14:paraId="2EEB4E7E" w14:textId="77777777" w:rsidR="00E818F7" w:rsidRPr="001116C5" w:rsidRDefault="00E818F7" w:rsidP="0086616B">
            <w:pPr>
              <w:rPr>
                <w:rFonts w:asciiTheme="minorHAnsi" w:hAnsiTheme="minorHAnsi" w:cstheme="minorHAnsi"/>
                <w:szCs w:val="22"/>
              </w:rPr>
            </w:pPr>
          </w:p>
        </w:tc>
        <w:tc>
          <w:tcPr>
            <w:tcW w:w="145" w:type="pct"/>
            <w:tcBorders>
              <w:top w:val="nil"/>
              <w:left w:val="nil"/>
              <w:bottom w:val="nil"/>
              <w:right w:val="nil"/>
            </w:tcBorders>
            <w:shd w:val="clear" w:color="auto" w:fill="auto"/>
            <w:vAlign w:val="center"/>
          </w:tcPr>
          <w:p w14:paraId="142EF61E" w14:textId="77777777" w:rsidR="00E818F7" w:rsidRPr="001116C5" w:rsidRDefault="00E818F7" w:rsidP="0086616B">
            <w:pPr>
              <w:rPr>
                <w:rFonts w:asciiTheme="minorHAnsi" w:hAnsiTheme="minorHAnsi" w:cstheme="minorHAnsi"/>
                <w:szCs w:val="22"/>
              </w:rPr>
            </w:pPr>
          </w:p>
        </w:tc>
        <w:tc>
          <w:tcPr>
            <w:tcW w:w="654" w:type="pct"/>
            <w:tcBorders>
              <w:top w:val="nil"/>
              <w:left w:val="nil"/>
              <w:bottom w:val="single" w:sz="12" w:space="0" w:color="auto"/>
              <w:right w:val="nil"/>
            </w:tcBorders>
            <w:shd w:val="clear" w:color="auto" w:fill="auto"/>
            <w:noWrap/>
            <w:vAlign w:val="center"/>
          </w:tcPr>
          <w:p w14:paraId="68A4952B"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31.12.2022.</w:t>
            </w:r>
          </w:p>
        </w:tc>
        <w:tc>
          <w:tcPr>
            <w:tcW w:w="145" w:type="pct"/>
            <w:tcBorders>
              <w:top w:val="nil"/>
              <w:left w:val="nil"/>
              <w:bottom w:val="nil"/>
              <w:right w:val="nil"/>
            </w:tcBorders>
            <w:shd w:val="clear" w:color="auto" w:fill="auto"/>
            <w:noWrap/>
            <w:vAlign w:val="center"/>
          </w:tcPr>
          <w:p w14:paraId="0CFB7C46" w14:textId="77777777" w:rsidR="00E818F7" w:rsidRPr="001116C5" w:rsidRDefault="00E818F7" w:rsidP="0086616B">
            <w:pPr>
              <w:jc w:val="center"/>
              <w:rPr>
                <w:rFonts w:asciiTheme="minorHAnsi" w:hAnsiTheme="minorHAnsi" w:cstheme="minorHAnsi"/>
                <w:b/>
                <w:bCs/>
                <w:color w:val="000000"/>
                <w:szCs w:val="22"/>
              </w:rPr>
            </w:pPr>
          </w:p>
        </w:tc>
        <w:tc>
          <w:tcPr>
            <w:tcW w:w="654" w:type="pct"/>
            <w:tcBorders>
              <w:top w:val="nil"/>
              <w:left w:val="nil"/>
              <w:bottom w:val="single" w:sz="12" w:space="0" w:color="auto"/>
              <w:right w:val="nil"/>
            </w:tcBorders>
            <w:shd w:val="clear" w:color="auto" w:fill="auto"/>
            <w:noWrap/>
            <w:vAlign w:val="center"/>
          </w:tcPr>
          <w:p w14:paraId="26DB4141"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31.12.2023.</w:t>
            </w:r>
          </w:p>
        </w:tc>
        <w:tc>
          <w:tcPr>
            <w:tcW w:w="145" w:type="pct"/>
            <w:tcBorders>
              <w:top w:val="nil"/>
              <w:left w:val="nil"/>
              <w:bottom w:val="nil"/>
              <w:right w:val="nil"/>
            </w:tcBorders>
            <w:shd w:val="clear" w:color="auto" w:fill="auto"/>
            <w:noWrap/>
            <w:vAlign w:val="center"/>
          </w:tcPr>
          <w:p w14:paraId="44631A74" w14:textId="77777777" w:rsidR="00E818F7" w:rsidRPr="001116C5" w:rsidRDefault="00E818F7" w:rsidP="0086616B">
            <w:pPr>
              <w:jc w:val="center"/>
              <w:rPr>
                <w:rFonts w:asciiTheme="minorHAnsi" w:hAnsiTheme="minorHAnsi" w:cstheme="minorHAnsi"/>
                <w:b/>
                <w:bCs/>
                <w:color w:val="000000"/>
                <w:szCs w:val="22"/>
              </w:rPr>
            </w:pPr>
          </w:p>
        </w:tc>
        <w:tc>
          <w:tcPr>
            <w:tcW w:w="571" w:type="pct"/>
            <w:tcBorders>
              <w:top w:val="nil"/>
              <w:left w:val="nil"/>
              <w:bottom w:val="single" w:sz="12" w:space="0" w:color="auto"/>
              <w:right w:val="nil"/>
            </w:tcBorders>
            <w:shd w:val="clear" w:color="auto" w:fill="auto"/>
            <w:noWrap/>
            <w:vAlign w:val="center"/>
          </w:tcPr>
          <w:p w14:paraId="28FAA4B1"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Razlika</w:t>
            </w:r>
          </w:p>
        </w:tc>
        <w:tc>
          <w:tcPr>
            <w:tcW w:w="121" w:type="pct"/>
            <w:tcBorders>
              <w:top w:val="nil"/>
              <w:left w:val="nil"/>
              <w:bottom w:val="nil"/>
              <w:right w:val="nil"/>
            </w:tcBorders>
            <w:shd w:val="clear" w:color="auto" w:fill="auto"/>
            <w:noWrap/>
            <w:vAlign w:val="center"/>
          </w:tcPr>
          <w:p w14:paraId="328CD7E5" w14:textId="77777777" w:rsidR="00E818F7" w:rsidRPr="001116C5" w:rsidRDefault="00E818F7" w:rsidP="0086616B">
            <w:pPr>
              <w:jc w:val="center"/>
              <w:rPr>
                <w:rFonts w:asciiTheme="minorHAnsi" w:hAnsiTheme="minorHAnsi" w:cstheme="minorHAnsi"/>
                <w:b/>
                <w:bCs/>
                <w:color w:val="000000"/>
                <w:szCs w:val="22"/>
              </w:rPr>
            </w:pPr>
          </w:p>
        </w:tc>
        <w:tc>
          <w:tcPr>
            <w:tcW w:w="471" w:type="pct"/>
            <w:tcBorders>
              <w:top w:val="nil"/>
              <w:left w:val="nil"/>
              <w:bottom w:val="single" w:sz="12" w:space="0" w:color="auto"/>
              <w:right w:val="nil"/>
            </w:tcBorders>
            <w:shd w:val="clear" w:color="auto" w:fill="auto"/>
            <w:noWrap/>
            <w:vAlign w:val="center"/>
          </w:tcPr>
          <w:p w14:paraId="60432B81"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Index</w:t>
            </w:r>
          </w:p>
        </w:tc>
      </w:tr>
      <w:tr w:rsidR="00E818F7" w:rsidRPr="001116C5" w14:paraId="35F0ADD5" w14:textId="77777777" w:rsidTr="0086616B">
        <w:trPr>
          <w:trHeight w:val="340"/>
        </w:trPr>
        <w:tc>
          <w:tcPr>
            <w:tcW w:w="1510" w:type="pct"/>
            <w:tcBorders>
              <w:top w:val="nil"/>
              <w:left w:val="nil"/>
              <w:bottom w:val="nil"/>
              <w:right w:val="nil"/>
            </w:tcBorders>
            <w:shd w:val="clear" w:color="auto" w:fill="auto"/>
            <w:noWrap/>
            <w:vAlign w:val="center"/>
            <w:hideMark/>
          </w:tcPr>
          <w:p w14:paraId="7FF403DB" w14:textId="77777777" w:rsidR="00E818F7" w:rsidRPr="001116C5" w:rsidRDefault="00E818F7" w:rsidP="0086616B">
            <w:pPr>
              <w:jc w:val="center"/>
              <w:rPr>
                <w:rFonts w:asciiTheme="minorHAnsi" w:hAnsiTheme="minorHAnsi" w:cstheme="minorHAnsi"/>
                <w:b/>
                <w:bCs/>
                <w:color w:val="000000"/>
                <w:szCs w:val="22"/>
              </w:rPr>
            </w:pPr>
          </w:p>
        </w:tc>
        <w:tc>
          <w:tcPr>
            <w:tcW w:w="583" w:type="pct"/>
            <w:tcBorders>
              <w:top w:val="nil"/>
              <w:left w:val="nil"/>
              <w:bottom w:val="nil"/>
              <w:right w:val="nil"/>
            </w:tcBorders>
            <w:shd w:val="clear" w:color="auto" w:fill="auto"/>
            <w:noWrap/>
            <w:vAlign w:val="center"/>
            <w:hideMark/>
          </w:tcPr>
          <w:p w14:paraId="4F44F1FA" w14:textId="77777777" w:rsidR="00E818F7" w:rsidRPr="001116C5" w:rsidRDefault="00E818F7" w:rsidP="0086616B">
            <w:pPr>
              <w:rPr>
                <w:rFonts w:asciiTheme="minorHAnsi" w:hAnsiTheme="minorHAnsi" w:cstheme="minorHAnsi"/>
                <w:szCs w:val="22"/>
              </w:rPr>
            </w:pPr>
          </w:p>
        </w:tc>
        <w:tc>
          <w:tcPr>
            <w:tcW w:w="145" w:type="pct"/>
            <w:tcBorders>
              <w:top w:val="nil"/>
              <w:left w:val="nil"/>
              <w:bottom w:val="nil"/>
              <w:right w:val="nil"/>
            </w:tcBorders>
            <w:shd w:val="clear" w:color="auto" w:fill="auto"/>
            <w:vAlign w:val="center"/>
          </w:tcPr>
          <w:p w14:paraId="2303E2C2" w14:textId="77777777" w:rsidR="00E818F7" w:rsidRPr="001116C5" w:rsidRDefault="00E818F7" w:rsidP="0086616B">
            <w:pPr>
              <w:rPr>
                <w:rFonts w:asciiTheme="minorHAnsi" w:hAnsiTheme="minorHAnsi" w:cstheme="minorHAnsi"/>
                <w:szCs w:val="22"/>
              </w:rPr>
            </w:pPr>
          </w:p>
        </w:tc>
        <w:tc>
          <w:tcPr>
            <w:tcW w:w="654" w:type="pct"/>
            <w:tcBorders>
              <w:top w:val="nil"/>
              <w:left w:val="nil"/>
              <w:bottom w:val="nil"/>
              <w:right w:val="nil"/>
            </w:tcBorders>
            <w:shd w:val="clear" w:color="auto" w:fill="auto"/>
            <w:noWrap/>
            <w:vAlign w:val="center"/>
          </w:tcPr>
          <w:p w14:paraId="671EE545" w14:textId="77777777" w:rsidR="00E818F7" w:rsidRPr="001116C5" w:rsidRDefault="00E818F7" w:rsidP="0086616B">
            <w:pPr>
              <w:jc w:val="center"/>
              <w:rPr>
                <w:rFonts w:asciiTheme="minorHAnsi" w:hAnsiTheme="minorHAnsi" w:cstheme="minorHAnsi"/>
                <w:b/>
                <w:bCs/>
                <w:color w:val="000000"/>
                <w:szCs w:val="22"/>
              </w:rPr>
            </w:pPr>
          </w:p>
        </w:tc>
        <w:tc>
          <w:tcPr>
            <w:tcW w:w="145" w:type="pct"/>
            <w:tcBorders>
              <w:top w:val="nil"/>
              <w:left w:val="nil"/>
              <w:bottom w:val="nil"/>
              <w:right w:val="nil"/>
            </w:tcBorders>
            <w:shd w:val="clear" w:color="auto" w:fill="auto"/>
            <w:noWrap/>
            <w:vAlign w:val="center"/>
          </w:tcPr>
          <w:p w14:paraId="274E7C22" w14:textId="77777777" w:rsidR="00E818F7" w:rsidRPr="001116C5" w:rsidRDefault="00E818F7" w:rsidP="0086616B">
            <w:pPr>
              <w:rPr>
                <w:rFonts w:asciiTheme="minorHAnsi" w:hAnsiTheme="minorHAnsi" w:cstheme="minorHAnsi"/>
                <w:szCs w:val="22"/>
              </w:rPr>
            </w:pPr>
          </w:p>
        </w:tc>
        <w:tc>
          <w:tcPr>
            <w:tcW w:w="654" w:type="pct"/>
            <w:tcBorders>
              <w:top w:val="nil"/>
              <w:left w:val="nil"/>
              <w:bottom w:val="nil"/>
              <w:right w:val="nil"/>
            </w:tcBorders>
            <w:shd w:val="clear" w:color="auto" w:fill="auto"/>
            <w:noWrap/>
            <w:vAlign w:val="center"/>
          </w:tcPr>
          <w:p w14:paraId="08FCE5B1" w14:textId="77777777" w:rsidR="00E818F7" w:rsidRPr="001116C5" w:rsidRDefault="00E818F7" w:rsidP="0086616B">
            <w:pPr>
              <w:rPr>
                <w:rFonts w:asciiTheme="minorHAnsi" w:hAnsiTheme="minorHAnsi" w:cstheme="minorHAnsi"/>
                <w:szCs w:val="22"/>
              </w:rPr>
            </w:pPr>
          </w:p>
        </w:tc>
        <w:tc>
          <w:tcPr>
            <w:tcW w:w="145" w:type="pct"/>
            <w:tcBorders>
              <w:top w:val="nil"/>
              <w:left w:val="nil"/>
              <w:bottom w:val="nil"/>
              <w:right w:val="nil"/>
            </w:tcBorders>
            <w:shd w:val="clear" w:color="auto" w:fill="auto"/>
            <w:noWrap/>
            <w:vAlign w:val="center"/>
          </w:tcPr>
          <w:p w14:paraId="690479C3" w14:textId="77777777" w:rsidR="00E818F7" w:rsidRPr="001116C5" w:rsidRDefault="00E818F7" w:rsidP="0086616B">
            <w:pPr>
              <w:rPr>
                <w:rFonts w:asciiTheme="minorHAnsi" w:hAnsiTheme="minorHAnsi" w:cstheme="minorHAnsi"/>
                <w:szCs w:val="22"/>
              </w:rPr>
            </w:pPr>
          </w:p>
        </w:tc>
        <w:tc>
          <w:tcPr>
            <w:tcW w:w="571" w:type="pct"/>
            <w:tcBorders>
              <w:top w:val="nil"/>
              <w:left w:val="nil"/>
              <w:bottom w:val="nil"/>
              <w:right w:val="nil"/>
            </w:tcBorders>
            <w:shd w:val="clear" w:color="auto" w:fill="auto"/>
            <w:noWrap/>
            <w:vAlign w:val="center"/>
          </w:tcPr>
          <w:p w14:paraId="6BC00C19" w14:textId="77777777" w:rsidR="00E818F7" w:rsidRPr="001116C5" w:rsidRDefault="00E818F7" w:rsidP="0086616B">
            <w:pPr>
              <w:rPr>
                <w:rFonts w:asciiTheme="minorHAnsi" w:hAnsiTheme="minorHAnsi" w:cstheme="minorHAnsi"/>
                <w:szCs w:val="22"/>
              </w:rPr>
            </w:pPr>
          </w:p>
        </w:tc>
        <w:tc>
          <w:tcPr>
            <w:tcW w:w="121" w:type="pct"/>
            <w:tcBorders>
              <w:top w:val="nil"/>
              <w:left w:val="nil"/>
              <w:bottom w:val="nil"/>
              <w:right w:val="nil"/>
            </w:tcBorders>
            <w:shd w:val="clear" w:color="auto" w:fill="auto"/>
            <w:noWrap/>
            <w:vAlign w:val="center"/>
          </w:tcPr>
          <w:p w14:paraId="419D0841" w14:textId="77777777" w:rsidR="00E818F7" w:rsidRPr="001116C5" w:rsidRDefault="00E818F7" w:rsidP="0086616B">
            <w:pPr>
              <w:rPr>
                <w:rFonts w:asciiTheme="minorHAnsi" w:hAnsiTheme="minorHAnsi" w:cstheme="minorHAnsi"/>
                <w:szCs w:val="22"/>
              </w:rPr>
            </w:pPr>
          </w:p>
        </w:tc>
        <w:tc>
          <w:tcPr>
            <w:tcW w:w="471" w:type="pct"/>
            <w:tcBorders>
              <w:top w:val="nil"/>
              <w:left w:val="nil"/>
              <w:bottom w:val="nil"/>
              <w:right w:val="nil"/>
            </w:tcBorders>
            <w:shd w:val="clear" w:color="auto" w:fill="auto"/>
            <w:noWrap/>
            <w:vAlign w:val="center"/>
          </w:tcPr>
          <w:p w14:paraId="4052721E" w14:textId="77777777" w:rsidR="00E818F7" w:rsidRPr="001116C5" w:rsidRDefault="00E818F7" w:rsidP="0086616B">
            <w:pPr>
              <w:rPr>
                <w:rFonts w:asciiTheme="minorHAnsi" w:hAnsiTheme="minorHAnsi" w:cstheme="minorHAnsi"/>
                <w:szCs w:val="22"/>
              </w:rPr>
            </w:pPr>
          </w:p>
        </w:tc>
      </w:tr>
      <w:tr w:rsidR="00E818F7" w:rsidRPr="001116C5" w14:paraId="2AC66F87" w14:textId="77777777" w:rsidTr="0086616B">
        <w:trPr>
          <w:trHeight w:val="340"/>
        </w:trPr>
        <w:tc>
          <w:tcPr>
            <w:tcW w:w="1510" w:type="pct"/>
            <w:tcBorders>
              <w:top w:val="nil"/>
              <w:left w:val="nil"/>
              <w:bottom w:val="nil"/>
              <w:right w:val="nil"/>
            </w:tcBorders>
            <w:shd w:val="clear" w:color="auto" w:fill="auto"/>
            <w:vAlign w:val="center"/>
            <w:hideMark/>
          </w:tcPr>
          <w:p w14:paraId="6D49A269"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lang w:eastAsia="en-GB"/>
              </w:rPr>
              <w:t>Novac na računu kod tuzemnih poslovnih banaka</w:t>
            </w:r>
          </w:p>
        </w:tc>
        <w:tc>
          <w:tcPr>
            <w:tcW w:w="583" w:type="pct"/>
            <w:tcBorders>
              <w:top w:val="nil"/>
              <w:left w:val="nil"/>
              <w:bottom w:val="nil"/>
              <w:right w:val="nil"/>
            </w:tcBorders>
            <w:shd w:val="clear" w:color="auto" w:fill="auto"/>
            <w:vAlign w:val="center"/>
            <w:hideMark/>
          </w:tcPr>
          <w:p w14:paraId="3CE894C6"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lang w:eastAsia="en-GB"/>
              </w:rPr>
              <w:t>AOP 077</w:t>
            </w:r>
          </w:p>
        </w:tc>
        <w:tc>
          <w:tcPr>
            <w:tcW w:w="145" w:type="pct"/>
            <w:tcBorders>
              <w:top w:val="nil"/>
              <w:left w:val="nil"/>
              <w:bottom w:val="nil"/>
              <w:right w:val="nil"/>
            </w:tcBorders>
            <w:shd w:val="clear" w:color="auto" w:fill="auto"/>
            <w:vAlign w:val="center"/>
          </w:tcPr>
          <w:p w14:paraId="41A048DF" w14:textId="77777777" w:rsidR="00E818F7" w:rsidRPr="001116C5" w:rsidRDefault="00E818F7" w:rsidP="0086616B">
            <w:pPr>
              <w:rPr>
                <w:rFonts w:asciiTheme="minorHAnsi" w:hAnsiTheme="minorHAnsi" w:cstheme="minorHAnsi"/>
                <w:color w:val="000000"/>
                <w:szCs w:val="22"/>
              </w:rPr>
            </w:pPr>
          </w:p>
        </w:tc>
        <w:tc>
          <w:tcPr>
            <w:tcW w:w="654" w:type="pct"/>
            <w:tcBorders>
              <w:top w:val="nil"/>
              <w:left w:val="nil"/>
              <w:bottom w:val="nil"/>
              <w:right w:val="nil"/>
            </w:tcBorders>
            <w:shd w:val="clear" w:color="auto" w:fill="auto"/>
            <w:vAlign w:val="center"/>
          </w:tcPr>
          <w:p w14:paraId="3D185DCA"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10.000</w:t>
            </w:r>
          </w:p>
        </w:tc>
        <w:tc>
          <w:tcPr>
            <w:tcW w:w="145" w:type="pct"/>
            <w:tcBorders>
              <w:top w:val="nil"/>
              <w:left w:val="nil"/>
              <w:bottom w:val="nil"/>
              <w:right w:val="nil"/>
            </w:tcBorders>
            <w:shd w:val="clear" w:color="auto" w:fill="auto"/>
            <w:vAlign w:val="center"/>
          </w:tcPr>
          <w:p w14:paraId="6AD2F2DC" w14:textId="77777777" w:rsidR="00E818F7" w:rsidRPr="001116C5" w:rsidRDefault="00E818F7" w:rsidP="0086616B">
            <w:pPr>
              <w:jc w:val="right"/>
              <w:rPr>
                <w:rFonts w:asciiTheme="minorHAnsi" w:hAnsiTheme="minorHAnsi" w:cstheme="minorHAnsi"/>
                <w:color w:val="000000"/>
                <w:szCs w:val="22"/>
              </w:rPr>
            </w:pPr>
          </w:p>
        </w:tc>
        <w:tc>
          <w:tcPr>
            <w:tcW w:w="654" w:type="pct"/>
            <w:tcBorders>
              <w:top w:val="nil"/>
              <w:left w:val="nil"/>
              <w:bottom w:val="nil"/>
              <w:right w:val="nil"/>
            </w:tcBorders>
            <w:shd w:val="clear" w:color="auto" w:fill="auto"/>
            <w:vAlign w:val="center"/>
          </w:tcPr>
          <w:p w14:paraId="39BBD204"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5.952</w:t>
            </w:r>
          </w:p>
        </w:tc>
        <w:tc>
          <w:tcPr>
            <w:tcW w:w="145" w:type="pct"/>
            <w:tcBorders>
              <w:top w:val="nil"/>
              <w:left w:val="nil"/>
              <w:bottom w:val="nil"/>
              <w:right w:val="nil"/>
            </w:tcBorders>
            <w:shd w:val="clear" w:color="auto" w:fill="auto"/>
            <w:vAlign w:val="center"/>
          </w:tcPr>
          <w:p w14:paraId="7574B319" w14:textId="77777777" w:rsidR="00E818F7" w:rsidRPr="001116C5" w:rsidRDefault="00E818F7" w:rsidP="0086616B">
            <w:pPr>
              <w:jc w:val="right"/>
              <w:rPr>
                <w:rFonts w:asciiTheme="minorHAnsi" w:hAnsiTheme="minorHAnsi" w:cstheme="minorHAnsi"/>
                <w:color w:val="000000"/>
                <w:szCs w:val="22"/>
              </w:rPr>
            </w:pPr>
          </w:p>
        </w:tc>
        <w:tc>
          <w:tcPr>
            <w:tcW w:w="571" w:type="pct"/>
            <w:tcBorders>
              <w:top w:val="nil"/>
              <w:left w:val="nil"/>
              <w:bottom w:val="nil"/>
              <w:right w:val="nil"/>
            </w:tcBorders>
            <w:shd w:val="clear" w:color="auto" w:fill="auto"/>
            <w:vAlign w:val="center"/>
          </w:tcPr>
          <w:p w14:paraId="1907C982"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(4.048)</w:t>
            </w:r>
          </w:p>
        </w:tc>
        <w:tc>
          <w:tcPr>
            <w:tcW w:w="121" w:type="pct"/>
            <w:tcBorders>
              <w:top w:val="nil"/>
              <w:left w:val="nil"/>
              <w:bottom w:val="nil"/>
              <w:right w:val="nil"/>
            </w:tcBorders>
            <w:shd w:val="clear" w:color="auto" w:fill="auto"/>
            <w:vAlign w:val="center"/>
          </w:tcPr>
          <w:p w14:paraId="5ACA4AC7" w14:textId="77777777" w:rsidR="00E818F7" w:rsidRPr="001116C5" w:rsidRDefault="00E818F7" w:rsidP="0086616B">
            <w:pPr>
              <w:jc w:val="right"/>
              <w:rPr>
                <w:rFonts w:asciiTheme="minorHAnsi" w:hAnsiTheme="minorHAnsi" w:cstheme="minorHAnsi"/>
                <w:color w:val="000000"/>
                <w:szCs w:val="22"/>
              </w:rPr>
            </w:pPr>
          </w:p>
        </w:tc>
        <w:tc>
          <w:tcPr>
            <w:tcW w:w="471" w:type="pct"/>
            <w:tcBorders>
              <w:top w:val="nil"/>
              <w:left w:val="nil"/>
              <w:bottom w:val="nil"/>
              <w:right w:val="nil"/>
            </w:tcBorders>
            <w:shd w:val="clear" w:color="auto" w:fill="auto"/>
            <w:vAlign w:val="center"/>
          </w:tcPr>
          <w:p w14:paraId="1DA3AA3C"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59,5</w:t>
            </w:r>
          </w:p>
        </w:tc>
      </w:tr>
      <w:tr w:rsidR="00E818F7" w:rsidRPr="001116C5" w14:paraId="68E8EC9A" w14:textId="77777777" w:rsidTr="0086616B">
        <w:trPr>
          <w:trHeight w:val="340"/>
        </w:trPr>
        <w:tc>
          <w:tcPr>
            <w:tcW w:w="1510" w:type="pct"/>
            <w:tcBorders>
              <w:top w:val="nil"/>
              <w:left w:val="nil"/>
              <w:bottom w:val="nil"/>
              <w:right w:val="nil"/>
            </w:tcBorders>
            <w:shd w:val="clear" w:color="auto" w:fill="auto"/>
            <w:vAlign w:val="center"/>
            <w:hideMark/>
          </w:tcPr>
          <w:p w14:paraId="19B15C92"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lang w:eastAsia="en-GB"/>
              </w:rPr>
              <w:t>Novac u blagajni</w:t>
            </w:r>
          </w:p>
        </w:tc>
        <w:tc>
          <w:tcPr>
            <w:tcW w:w="583" w:type="pct"/>
            <w:tcBorders>
              <w:top w:val="nil"/>
              <w:left w:val="nil"/>
              <w:bottom w:val="nil"/>
              <w:right w:val="nil"/>
            </w:tcBorders>
            <w:shd w:val="clear" w:color="auto" w:fill="auto"/>
            <w:vAlign w:val="center"/>
            <w:hideMark/>
          </w:tcPr>
          <w:p w14:paraId="44390E4D"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lang w:eastAsia="en-GB"/>
              </w:rPr>
              <w:t>AOP 081</w:t>
            </w:r>
          </w:p>
        </w:tc>
        <w:tc>
          <w:tcPr>
            <w:tcW w:w="145" w:type="pct"/>
            <w:tcBorders>
              <w:top w:val="nil"/>
              <w:left w:val="nil"/>
              <w:bottom w:val="nil"/>
              <w:right w:val="nil"/>
            </w:tcBorders>
            <w:shd w:val="clear" w:color="auto" w:fill="auto"/>
            <w:vAlign w:val="center"/>
          </w:tcPr>
          <w:p w14:paraId="5BE681D4" w14:textId="77777777" w:rsidR="00E818F7" w:rsidRPr="001116C5" w:rsidRDefault="00E818F7" w:rsidP="0086616B">
            <w:pPr>
              <w:rPr>
                <w:rFonts w:asciiTheme="minorHAnsi" w:hAnsiTheme="minorHAnsi" w:cstheme="minorHAnsi"/>
                <w:color w:val="000000"/>
                <w:szCs w:val="22"/>
              </w:rPr>
            </w:pPr>
          </w:p>
        </w:tc>
        <w:tc>
          <w:tcPr>
            <w:tcW w:w="654" w:type="pct"/>
            <w:tcBorders>
              <w:top w:val="nil"/>
              <w:left w:val="nil"/>
              <w:bottom w:val="single" w:sz="12" w:space="0" w:color="auto"/>
              <w:right w:val="nil"/>
            </w:tcBorders>
            <w:shd w:val="clear" w:color="auto" w:fill="auto"/>
            <w:vAlign w:val="center"/>
          </w:tcPr>
          <w:p w14:paraId="350F846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c>
          <w:tcPr>
            <w:tcW w:w="145" w:type="pct"/>
            <w:tcBorders>
              <w:top w:val="nil"/>
              <w:left w:val="nil"/>
              <w:bottom w:val="nil"/>
              <w:right w:val="nil"/>
            </w:tcBorders>
            <w:shd w:val="clear" w:color="auto" w:fill="auto"/>
            <w:vAlign w:val="center"/>
          </w:tcPr>
          <w:p w14:paraId="2F57037D" w14:textId="77777777" w:rsidR="00E818F7" w:rsidRPr="001116C5" w:rsidRDefault="00E818F7" w:rsidP="0086616B">
            <w:pPr>
              <w:jc w:val="right"/>
              <w:rPr>
                <w:rFonts w:asciiTheme="minorHAnsi" w:hAnsiTheme="minorHAnsi" w:cstheme="minorHAnsi"/>
                <w:color w:val="000000"/>
                <w:szCs w:val="22"/>
              </w:rPr>
            </w:pPr>
          </w:p>
        </w:tc>
        <w:tc>
          <w:tcPr>
            <w:tcW w:w="654" w:type="pct"/>
            <w:tcBorders>
              <w:top w:val="nil"/>
              <w:left w:val="nil"/>
              <w:bottom w:val="single" w:sz="12" w:space="0" w:color="auto"/>
              <w:right w:val="nil"/>
            </w:tcBorders>
            <w:shd w:val="clear" w:color="auto" w:fill="auto"/>
            <w:vAlign w:val="center"/>
          </w:tcPr>
          <w:p w14:paraId="382DA25C" w14:textId="77777777" w:rsidR="00E818F7" w:rsidRPr="001116C5" w:rsidRDefault="00E818F7" w:rsidP="0086616B">
            <w:pPr>
              <w:jc w:val="right"/>
              <w:rPr>
                <w:rFonts w:asciiTheme="minorHAnsi" w:hAnsiTheme="minorHAnsi" w:cstheme="minorHAnsi"/>
                <w:szCs w:val="22"/>
              </w:rPr>
            </w:pPr>
            <w:r w:rsidRPr="001116C5">
              <w:rPr>
                <w:rFonts w:asciiTheme="minorHAnsi" w:hAnsiTheme="minorHAnsi" w:cstheme="minorHAnsi"/>
                <w:color w:val="000000"/>
                <w:szCs w:val="22"/>
              </w:rPr>
              <w:t>440</w:t>
            </w:r>
          </w:p>
        </w:tc>
        <w:tc>
          <w:tcPr>
            <w:tcW w:w="145" w:type="pct"/>
            <w:tcBorders>
              <w:top w:val="nil"/>
              <w:left w:val="nil"/>
              <w:bottom w:val="nil"/>
              <w:right w:val="nil"/>
            </w:tcBorders>
            <w:shd w:val="clear" w:color="auto" w:fill="auto"/>
            <w:noWrap/>
            <w:vAlign w:val="center"/>
          </w:tcPr>
          <w:p w14:paraId="49BA75FE" w14:textId="77777777" w:rsidR="00E818F7" w:rsidRPr="001116C5" w:rsidRDefault="00E818F7" w:rsidP="0086616B">
            <w:pPr>
              <w:jc w:val="right"/>
              <w:rPr>
                <w:rFonts w:asciiTheme="minorHAnsi" w:hAnsiTheme="minorHAnsi" w:cstheme="minorHAnsi"/>
                <w:szCs w:val="22"/>
              </w:rPr>
            </w:pPr>
          </w:p>
        </w:tc>
        <w:tc>
          <w:tcPr>
            <w:tcW w:w="571" w:type="pct"/>
            <w:tcBorders>
              <w:top w:val="nil"/>
              <w:left w:val="nil"/>
              <w:bottom w:val="single" w:sz="12" w:space="0" w:color="auto"/>
              <w:right w:val="nil"/>
            </w:tcBorders>
            <w:shd w:val="clear" w:color="auto" w:fill="auto"/>
            <w:noWrap/>
            <w:vAlign w:val="center"/>
          </w:tcPr>
          <w:p w14:paraId="114D718F"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440</w:t>
            </w:r>
          </w:p>
        </w:tc>
        <w:tc>
          <w:tcPr>
            <w:tcW w:w="121" w:type="pct"/>
            <w:tcBorders>
              <w:top w:val="nil"/>
              <w:left w:val="nil"/>
              <w:bottom w:val="nil"/>
              <w:right w:val="nil"/>
            </w:tcBorders>
            <w:shd w:val="clear" w:color="auto" w:fill="auto"/>
            <w:noWrap/>
            <w:vAlign w:val="center"/>
          </w:tcPr>
          <w:p w14:paraId="630A3E15" w14:textId="77777777" w:rsidR="00E818F7" w:rsidRPr="001116C5" w:rsidRDefault="00E818F7" w:rsidP="0086616B">
            <w:pPr>
              <w:jc w:val="right"/>
              <w:rPr>
                <w:rFonts w:asciiTheme="minorHAnsi" w:hAnsiTheme="minorHAnsi" w:cstheme="minorHAnsi"/>
                <w:color w:val="000000"/>
                <w:szCs w:val="22"/>
              </w:rPr>
            </w:pPr>
          </w:p>
        </w:tc>
        <w:tc>
          <w:tcPr>
            <w:tcW w:w="471" w:type="pct"/>
            <w:tcBorders>
              <w:top w:val="nil"/>
              <w:left w:val="nil"/>
              <w:bottom w:val="single" w:sz="12" w:space="0" w:color="auto"/>
              <w:right w:val="nil"/>
            </w:tcBorders>
            <w:shd w:val="clear" w:color="auto" w:fill="auto"/>
            <w:noWrap/>
            <w:vAlign w:val="center"/>
          </w:tcPr>
          <w:p w14:paraId="1AFCA23E"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r>
      <w:tr w:rsidR="00E818F7" w:rsidRPr="001116C5" w14:paraId="3239F988" w14:textId="77777777" w:rsidTr="0086616B">
        <w:trPr>
          <w:trHeight w:val="340"/>
        </w:trPr>
        <w:tc>
          <w:tcPr>
            <w:tcW w:w="1510" w:type="pct"/>
            <w:tcBorders>
              <w:top w:val="nil"/>
              <w:left w:val="nil"/>
              <w:bottom w:val="nil"/>
              <w:right w:val="nil"/>
            </w:tcBorders>
            <w:shd w:val="clear" w:color="auto" w:fill="auto"/>
            <w:noWrap/>
            <w:vAlign w:val="center"/>
            <w:hideMark/>
          </w:tcPr>
          <w:p w14:paraId="4AC9C61B"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lang w:eastAsia="en-GB"/>
              </w:rPr>
              <w:t>Ukupno</w:t>
            </w:r>
          </w:p>
        </w:tc>
        <w:tc>
          <w:tcPr>
            <w:tcW w:w="583" w:type="pct"/>
            <w:tcBorders>
              <w:top w:val="nil"/>
              <w:left w:val="nil"/>
              <w:bottom w:val="nil"/>
              <w:right w:val="nil"/>
            </w:tcBorders>
            <w:shd w:val="clear" w:color="auto" w:fill="auto"/>
            <w:vAlign w:val="center"/>
            <w:hideMark/>
          </w:tcPr>
          <w:p w14:paraId="39C1E4CF"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lang w:eastAsia="en-GB"/>
              </w:rPr>
              <w:t>AOP 075</w:t>
            </w:r>
          </w:p>
        </w:tc>
        <w:tc>
          <w:tcPr>
            <w:tcW w:w="145" w:type="pct"/>
            <w:tcBorders>
              <w:top w:val="nil"/>
              <w:left w:val="nil"/>
              <w:bottom w:val="nil"/>
              <w:right w:val="nil"/>
            </w:tcBorders>
            <w:shd w:val="clear" w:color="auto" w:fill="auto"/>
            <w:vAlign w:val="center"/>
          </w:tcPr>
          <w:p w14:paraId="5E739B5C" w14:textId="77777777" w:rsidR="00E818F7" w:rsidRPr="001116C5" w:rsidRDefault="00E818F7" w:rsidP="0086616B">
            <w:pPr>
              <w:rPr>
                <w:rFonts w:asciiTheme="minorHAnsi" w:hAnsiTheme="minorHAnsi" w:cstheme="minorHAnsi"/>
                <w:b/>
                <w:bCs/>
                <w:color w:val="000000"/>
                <w:szCs w:val="22"/>
              </w:rPr>
            </w:pPr>
          </w:p>
        </w:tc>
        <w:tc>
          <w:tcPr>
            <w:tcW w:w="654" w:type="pct"/>
            <w:tcBorders>
              <w:top w:val="single" w:sz="12" w:space="0" w:color="auto"/>
              <w:left w:val="nil"/>
              <w:bottom w:val="single" w:sz="12" w:space="0" w:color="auto"/>
              <w:right w:val="nil"/>
            </w:tcBorders>
            <w:shd w:val="clear" w:color="auto" w:fill="auto"/>
            <w:noWrap/>
            <w:vAlign w:val="center"/>
          </w:tcPr>
          <w:p w14:paraId="141C012D"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10.000</w:t>
            </w:r>
          </w:p>
        </w:tc>
        <w:tc>
          <w:tcPr>
            <w:tcW w:w="145" w:type="pct"/>
            <w:tcBorders>
              <w:top w:val="nil"/>
              <w:left w:val="nil"/>
              <w:bottom w:val="nil"/>
              <w:right w:val="nil"/>
            </w:tcBorders>
            <w:shd w:val="clear" w:color="auto" w:fill="auto"/>
            <w:noWrap/>
            <w:vAlign w:val="center"/>
          </w:tcPr>
          <w:p w14:paraId="1165CC47" w14:textId="77777777" w:rsidR="00E818F7" w:rsidRPr="001116C5" w:rsidRDefault="00E818F7" w:rsidP="0086616B">
            <w:pPr>
              <w:jc w:val="right"/>
              <w:rPr>
                <w:rFonts w:asciiTheme="minorHAnsi" w:hAnsiTheme="minorHAnsi" w:cstheme="minorHAnsi"/>
                <w:b/>
                <w:bCs/>
                <w:color w:val="000000"/>
                <w:szCs w:val="22"/>
              </w:rPr>
            </w:pPr>
          </w:p>
        </w:tc>
        <w:tc>
          <w:tcPr>
            <w:tcW w:w="654" w:type="pct"/>
            <w:tcBorders>
              <w:top w:val="single" w:sz="12" w:space="0" w:color="auto"/>
              <w:left w:val="nil"/>
              <w:bottom w:val="single" w:sz="12" w:space="0" w:color="auto"/>
              <w:right w:val="nil"/>
            </w:tcBorders>
            <w:shd w:val="clear" w:color="auto" w:fill="auto"/>
            <w:noWrap/>
            <w:vAlign w:val="center"/>
          </w:tcPr>
          <w:p w14:paraId="095A8ABA"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6.392</w:t>
            </w:r>
          </w:p>
        </w:tc>
        <w:tc>
          <w:tcPr>
            <w:tcW w:w="145" w:type="pct"/>
            <w:tcBorders>
              <w:top w:val="nil"/>
              <w:left w:val="nil"/>
              <w:bottom w:val="nil"/>
              <w:right w:val="nil"/>
            </w:tcBorders>
            <w:shd w:val="clear" w:color="auto" w:fill="auto"/>
            <w:vAlign w:val="center"/>
          </w:tcPr>
          <w:p w14:paraId="7188A742" w14:textId="77777777" w:rsidR="00E818F7" w:rsidRPr="001116C5" w:rsidRDefault="00E818F7" w:rsidP="0086616B">
            <w:pPr>
              <w:jc w:val="right"/>
              <w:rPr>
                <w:rFonts w:asciiTheme="minorHAnsi" w:hAnsiTheme="minorHAnsi" w:cstheme="minorHAnsi"/>
                <w:b/>
                <w:bCs/>
                <w:color w:val="000000"/>
                <w:szCs w:val="22"/>
              </w:rPr>
            </w:pPr>
          </w:p>
        </w:tc>
        <w:tc>
          <w:tcPr>
            <w:tcW w:w="571" w:type="pct"/>
            <w:tcBorders>
              <w:top w:val="single" w:sz="12" w:space="0" w:color="auto"/>
              <w:left w:val="nil"/>
              <w:bottom w:val="single" w:sz="12" w:space="0" w:color="auto"/>
              <w:right w:val="nil"/>
            </w:tcBorders>
            <w:shd w:val="clear" w:color="auto" w:fill="auto"/>
            <w:noWrap/>
            <w:vAlign w:val="center"/>
          </w:tcPr>
          <w:p w14:paraId="228576D4"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(3.608)</w:t>
            </w:r>
          </w:p>
        </w:tc>
        <w:tc>
          <w:tcPr>
            <w:tcW w:w="121" w:type="pct"/>
            <w:tcBorders>
              <w:top w:val="nil"/>
              <w:left w:val="nil"/>
              <w:bottom w:val="nil"/>
              <w:right w:val="nil"/>
            </w:tcBorders>
            <w:shd w:val="clear" w:color="auto" w:fill="auto"/>
            <w:vAlign w:val="center"/>
          </w:tcPr>
          <w:p w14:paraId="752C7390" w14:textId="77777777" w:rsidR="00E818F7" w:rsidRPr="001116C5" w:rsidRDefault="00E818F7" w:rsidP="0086616B">
            <w:pPr>
              <w:jc w:val="right"/>
              <w:rPr>
                <w:rFonts w:asciiTheme="minorHAnsi" w:hAnsiTheme="minorHAnsi" w:cstheme="minorHAnsi"/>
                <w:b/>
                <w:bCs/>
                <w:color w:val="000000"/>
                <w:szCs w:val="22"/>
              </w:rPr>
            </w:pPr>
          </w:p>
        </w:tc>
        <w:tc>
          <w:tcPr>
            <w:tcW w:w="471" w:type="pct"/>
            <w:tcBorders>
              <w:top w:val="single" w:sz="12" w:space="0" w:color="auto"/>
              <w:left w:val="nil"/>
              <w:bottom w:val="single" w:sz="12" w:space="0" w:color="auto"/>
              <w:right w:val="nil"/>
            </w:tcBorders>
            <w:shd w:val="clear" w:color="auto" w:fill="auto"/>
            <w:noWrap/>
            <w:vAlign w:val="center"/>
          </w:tcPr>
          <w:p w14:paraId="455A3F44"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63,9</w:t>
            </w:r>
          </w:p>
        </w:tc>
      </w:tr>
    </w:tbl>
    <w:p w14:paraId="7526AA79" w14:textId="77777777" w:rsidR="00E818F7" w:rsidRPr="001116C5" w:rsidRDefault="00E818F7" w:rsidP="00E818F7">
      <w:pPr>
        <w:pStyle w:val="NoSpacing"/>
        <w:rPr>
          <w:rFonts w:asciiTheme="minorHAnsi" w:hAnsiTheme="minorHAnsi" w:cstheme="minorHAnsi"/>
          <w:sz w:val="22"/>
          <w:szCs w:val="22"/>
        </w:rPr>
      </w:pPr>
    </w:p>
    <w:p w14:paraId="18BC0F31" w14:textId="7A2D1E3D" w:rsidR="00E818F7" w:rsidRPr="001116C5" w:rsidRDefault="00E818F7">
      <w:pPr>
        <w:jc w:val="left"/>
        <w:rPr>
          <w:rFonts w:asciiTheme="minorHAnsi" w:hAnsiTheme="minorHAnsi" w:cstheme="minorHAnsi"/>
          <w:b/>
          <w:szCs w:val="22"/>
        </w:rPr>
      </w:pPr>
    </w:p>
    <w:p w14:paraId="139BA517" w14:textId="47DD8820"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rPr>
      </w:pPr>
      <w:r w:rsidRPr="001116C5">
        <w:rPr>
          <w:rFonts w:asciiTheme="minorHAnsi" w:hAnsiTheme="minorHAnsi" w:cstheme="minorHAnsi"/>
          <w:b/>
          <w:szCs w:val="22"/>
        </w:rPr>
        <w:t xml:space="preserve">11. </w:t>
      </w:r>
      <w:r w:rsidRPr="001116C5">
        <w:rPr>
          <w:rFonts w:asciiTheme="minorHAnsi" w:hAnsiTheme="minorHAnsi" w:cstheme="minorHAnsi"/>
          <w:b/>
          <w:szCs w:val="22"/>
        </w:rPr>
        <w:tab/>
        <w:t>OBVEZE ZA MATERIJALNE RASHODE</w:t>
      </w:r>
    </w:p>
    <w:p w14:paraId="55192D9C" w14:textId="77777777" w:rsidR="00E818F7" w:rsidRPr="001116C5" w:rsidRDefault="00E818F7" w:rsidP="00E818F7">
      <w:pPr>
        <w:pStyle w:val="NoSpacing"/>
        <w:rPr>
          <w:rFonts w:asciiTheme="minorHAnsi" w:hAnsiTheme="minorHAnsi" w:cstheme="minorHAnsi"/>
          <w:sz w:val="22"/>
          <w:szCs w:val="22"/>
        </w:rPr>
      </w:pPr>
    </w:p>
    <w:tbl>
      <w:tblPr>
        <w:tblW w:w="9729" w:type="dxa"/>
        <w:tblInd w:w="18" w:type="dxa"/>
        <w:tblLayout w:type="fixed"/>
        <w:tblLook w:val="04A0" w:firstRow="1" w:lastRow="0" w:firstColumn="1" w:lastColumn="0" w:noHBand="0" w:noVBand="1"/>
      </w:tblPr>
      <w:tblGrid>
        <w:gridCol w:w="3067"/>
        <w:gridCol w:w="992"/>
        <w:gridCol w:w="284"/>
        <w:gridCol w:w="1276"/>
        <w:gridCol w:w="283"/>
        <w:gridCol w:w="1276"/>
        <w:gridCol w:w="283"/>
        <w:gridCol w:w="1134"/>
        <w:gridCol w:w="284"/>
        <w:gridCol w:w="850"/>
      </w:tblGrid>
      <w:tr w:rsidR="00E818F7" w:rsidRPr="001116C5" w14:paraId="1C962F97" w14:textId="77777777" w:rsidTr="0086616B">
        <w:trPr>
          <w:trHeight w:val="315"/>
        </w:trPr>
        <w:tc>
          <w:tcPr>
            <w:tcW w:w="3067" w:type="dxa"/>
            <w:tcBorders>
              <w:top w:val="nil"/>
              <w:left w:val="nil"/>
              <w:bottom w:val="nil"/>
              <w:right w:val="nil"/>
            </w:tcBorders>
            <w:shd w:val="clear" w:color="auto" w:fill="auto"/>
            <w:noWrap/>
            <w:vAlign w:val="center"/>
            <w:hideMark/>
          </w:tcPr>
          <w:p w14:paraId="41F793BC" w14:textId="77777777" w:rsidR="00E818F7" w:rsidRPr="001116C5" w:rsidRDefault="00E818F7" w:rsidP="0086616B">
            <w:pPr>
              <w:rPr>
                <w:rFonts w:asciiTheme="minorHAnsi" w:hAnsiTheme="minorHAnsi" w:cstheme="minorHAnsi"/>
                <w:szCs w:val="22"/>
              </w:rPr>
            </w:pPr>
          </w:p>
        </w:tc>
        <w:tc>
          <w:tcPr>
            <w:tcW w:w="992" w:type="dxa"/>
            <w:tcBorders>
              <w:top w:val="nil"/>
              <w:left w:val="nil"/>
              <w:bottom w:val="nil"/>
              <w:right w:val="nil"/>
            </w:tcBorders>
            <w:shd w:val="clear" w:color="auto" w:fill="auto"/>
            <w:noWrap/>
            <w:vAlign w:val="center"/>
            <w:hideMark/>
          </w:tcPr>
          <w:p w14:paraId="51EB79DF" w14:textId="77777777" w:rsidR="00E818F7" w:rsidRPr="001116C5" w:rsidRDefault="00E818F7" w:rsidP="0086616B">
            <w:pPr>
              <w:rPr>
                <w:rFonts w:asciiTheme="minorHAnsi" w:hAnsiTheme="minorHAnsi" w:cstheme="minorHAnsi"/>
                <w:szCs w:val="22"/>
              </w:rPr>
            </w:pPr>
          </w:p>
        </w:tc>
        <w:tc>
          <w:tcPr>
            <w:tcW w:w="284" w:type="dxa"/>
            <w:tcBorders>
              <w:top w:val="nil"/>
              <w:left w:val="nil"/>
              <w:bottom w:val="nil"/>
              <w:right w:val="nil"/>
            </w:tcBorders>
            <w:shd w:val="clear" w:color="auto" w:fill="auto"/>
            <w:noWrap/>
            <w:vAlign w:val="center"/>
            <w:hideMark/>
          </w:tcPr>
          <w:p w14:paraId="51AF5367" w14:textId="77777777" w:rsidR="00E818F7" w:rsidRPr="001116C5" w:rsidRDefault="00E818F7" w:rsidP="0086616B">
            <w:pPr>
              <w:rPr>
                <w:rFonts w:asciiTheme="minorHAnsi" w:hAnsiTheme="minorHAnsi" w:cstheme="minorHAnsi"/>
                <w:szCs w:val="22"/>
              </w:rPr>
            </w:pPr>
          </w:p>
        </w:tc>
        <w:tc>
          <w:tcPr>
            <w:tcW w:w="1276" w:type="dxa"/>
            <w:tcBorders>
              <w:top w:val="nil"/>
              <w:left w:val="nil"/>
              <w:bottom w:val="single" w:sz="12" w:space="0" w:color="auto"/>
              <w:right w:val="nil"/>
            </w:tcBorders>
            <w:shd w:val="clear" w:color="auto" w:fill="auto"/>
            <w:noWrap/>
            <w:vAlign w:val="center"/>
          </w:tcPr>
          <w:p w14:paraId="4E1F65C4"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31.12.2022.</w:t>
            </w:r>
          </w:p>
        </w:tc>
        <w:tc>
          <w:tcPr>
            <w:tcW w:w="283" w:type="dxa"/>
            <w:tcBorders>
              <w:top w:val="nil"/>
              <w:left w:val="nil"/>
              <w:bottom w:val="nil"/>
              <w:right w:val="nil"/>
            </w:tcBorders>
            <w:shd w:val="clear" w:color="auto" w:fill="auto"/>
            <w:noWrap/>
            <w:vAlign w:val="center"/>
          </w:tcPr>
          <w:p w14:paraId="258FF7C2" w14:textId="77777777" w:rsidR="00E818F7" w:rsidRPr="001116C5" w:rsidRDefault="00E818F7" w:rsidP="0086616B">
            <w:pPr>
              <w:jc w:val="center"/>
              <w:rPr>
                <w:rFonts w:asciiTheme="minorHAnsi" w:hAnsiTheme="minorHAnsi" w:cstheme="minorHAnsi"/>
                <w:b/>
                <w:bCs/>
                <w:color w:val="000000"/>
                <w:szCs w:val="22"/>
              </w:rPr>
            </w:pPr>
          </w:p>
        </w:tc>
        <w:tc>
          <w:tcPr>
            <w:tcW w:w="1276" w:type="dxa"/>
            <w:tcBorders>
              <w:top w:val="nil"/>
              <w:left w:val="nil"/>
              <w:bottom w:val="single" w:sz="12" w:space="0" w:color="auto"/>
              <w:right w:val="nil"/>
            </w:tcBorders>
            <w:shd w:val="clear" w:color="auto" w:fill="auto"/>
            <w:noWrap/>
            <w:vAlign w:val="center"/>
          </w:tcPr>
          <w:p w14:paraId="1F208201"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31.12.2023.</w:t>
            </w:r>
          </w:p>
        </w:tc>
        <w:tc>
          <w:tcPr>
            <w:tcW w:w="283" w:type="dxa"/>
            <w:tcBorders>
              <w:top w:val="nil"/>
              <w:left w:val="nil"/>
              <w:bottom w:val="nil"/>
              <w:right w:val="nil"/>
            </w:tcBorders>
            <w:shd w:val="clear" w:color="auto" w:fill="auto"/>
            <w:noWrap/>
            <w:vAlign w:val="center"/>
          </w:tcPr>
          <w:p w14:paraId="3D282081" w14:textId="77777777" w:rsidR="00E818F7" w:rsidRPr="001116C5" w:rsidRDefault="00E818F7" w:rsidP="0086616B">
            <w:pPr>
              <w:jc w:val="center"/>
              <w:rPr>
                <w:rFonts w:asciiTheme="minorHAnsi" w:hAnsiTheme="minorHAnsi" w:cstheme="minorHAnsi"/>
                <w:b/>
                <w:bCs/>
                <w:color w:val="000000"/>
                <w:szCs w:val="22"/>
              </w:rPr>
            </w:pPr>
          </w:p>
        </w:tc>
        <w:tc>
          <w:tcPr>
            <w:tcW w:w="1134" w:type="dxa"/>
            <w:tcBorders>
              <w:top w:val="nil"/>
              <w:left w:val="nil"/>
              <w:bottom w:val="single" w:sz="12" w:space="0" w:color="auto"/>
              <w:right w:val="nil"/>
            </w:tcBorders>
            <w:shd w:val="clear" w:color="auto" w:fill="auto"/>
            <w:noWrap/>
            <w:vAlign w:val="center"/>
          </w:tcPr>
          <w:p w14:paraId="4773BAEC"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Razlika</w:t>
            </w:r>
          </w:p>
        </w:tc>
        <w:tc>
          <w:tcPr>
            <w:tcW w:w="284" w:type="dxa"/>
            <w:tcBorders>
              <w:top w:val="nil"/>
              <w:left w:val="nil"/>
              <w:bottom w:val="nil"/>
              <w:right w:val="nil"/>
            </w:tcBorders>
            <w:shd w:val="clear" w:color="auto" w:fill="auto"/>
            <w:noWrap/>
            <w:vAlign w:val="center"/>
          </w:tcPr>
          <w:p w14:paraId="3DD6C334" w14:textId="77777777" w:rsidR="00E818F7" w:rsidRPr="001116C5" w:rsidRDefault="00E818F7" w:rsidP="0086616B">
            <w:pPr>
              <w:jc w:val="center"/>
              <w:rPr>
                <w:rFonts w:asciiTheme="minorHAnsi" w:hAnsiTheme="minorHAnsi" w:cstheme="minorHAnsi"/>
                <w:b/>
                <w:bCs/>
                <w:color w:val="000000"/>
                <w:szCs w:val="22"/>
              </w:rPr>
            </w:pPr>
          </w:p>
        </w:tc>
        <w:tc>
          <w:tcPr>
            <w:tcW w:w="850" w:type="dxa"/>
            <w:tcBorders>
              <w:top w:val="nil"/>
              <w:left w:val="nil"/>
              <w:bottom w:val="single" w:sz="12" w:space="0" w:color="auto"/>
              <w:right w:val="nil"/>
            </w:tcBorders>
            <w:shd w:val="clear" w:color="auto" w:fill="auto"/>
            <w:noWrap/>
            <w:vAlign w:val="center"/>
          </w:tcPr>
          <w:p w14:paraId="730B8910" w14:textId="77777777" w:rsidR="00E818F7" w:rsidRPr="001116C5" w:rsidRDefault="00E818F7" w:rsidP="0086616B">
            <w:pPr>
              <w:jc w:val="center"/>
              <w:rPr>
                <w:rFonts w:asciiTheme="minorHAnsi" w:hAnsiTheme="minorHAnsi" w:cstheme="minorHAnsi"/>
                <w:b/>
                <w:bCs/>
                <w:color w:val="000000"/>
                <w:szCs w:val="22"/>
              </w:rPr>
            </w:pPr>
            <w:r w:rsidRPr="001116C5">
              <w:rPr>
                <w:rFonts w:asciiTheme="minorHAnsi" w:hAnsiTheme="minorHAnsi" w:cstheme="minorHAnsi"/>
                <w:b/>
                <w:bCs/>
                <w:color w:val="000000"/>
                <w:szCs w:val="22"/>
              </w:rPr>
              <w:t>Index</w:t>
            </w:r>
          </w:p>
        </w:tc>
      </w:tr>
      <w:tr w:rsidR="00E818F7" w:rsidRPr="001116C5" w14:paraId="0543B749" w14:textId="77777777" w:rsidTr="0086616B">
        <w:trPr>
          <w:trHeight w:val="315"/>
        </w:trPr>
        <w:tc>
          <w:tcPr>
            <w:tcW w:w="3067" w:type="dxa"/>
            <w:tcBorders>
              <w:top w:val="nil"/>
              <w:left w:val="nil"/>
              <w:bottom w:val="nil"/>
              <w:right w:val="nil"/>
            </w:tcBorders>
            <w:shd w:val="clear" w:color="auto" w:fill="auto"/>
            <w:noWrap/>
            <w:vAlign w:val="center"/>
            <w:hideMark/>
          </w:tcPr>
          <w:p w14:paraId="48AC623C" w14:textId="77777777" w:rsidR="00E818F7" w:rsidRPr="001116C5" w:rsidRDefault="00E818F7" w:rsidP="0086616B">
            <w:pPr>
              <w:jc w:val="center"/>
              <w:rPr>
                <w:rFonts w:asciiTheme="minorHAnsi" w:hAnsiTheme="minorHAnsi" w:cstheme="minorHAnsi"/>
                <w:b/>
                <w:bCs/>
                <w:color w:val="000000"/>
                <w:szCs w:val="22"/>
              </w:rPr>
            </w:pPr>
          </w:p>
        </w:tc>
        <w:tc>
          <w:tcPr>
            <w:tcW w:w="992" w:type="dxa"/>
            <w:tcBorders>
              <w:top w:val="nil"/>
              <w:left w:val="nil"/>
              <w:bottom w:val="nil"/>
              <w:right w:val="nil"/>
            </w:tcBorders>
            <w:shd w:val="clear" w:color="auto" w:fill="auto"/>
            <w:noWrap/>
            <w:vAlign w:val="center"/>
            <w:hideMark/>
          </w:tcPr>
          <w:p w14:paraId="18418259" w14:textId="77777777" w:rsidR="00E818F7" w:rsidRPr="001116C5" w:rsidRDefault="00E818F7" w:rsidP="0086616B">
            <w:pPr>
              <w:rPr>
                <w:rFonts w:asciiTheme="minorHAnsi" w:hAnsiTheme="minorHAnsi" w:cstheme="minorHAnsi"/>
                <w:szCs w:val="22"/>
              </w:rPr>
            </w:pPr>
          </w:p>
        </w:tc>
        <w:tc>
          <w:tcPr>
            <w:tcW w:w="284" w:type="dxa"/>
            <w:tcBorders>
              <w:top w:val="nil"/>
              <w:left w:val="nil"/>
              <w:bottom w:val="nil"/>
              <w:right w:val="nil"/>
            </w:tcBorders>
            <w:shd w:val="clear" w:color="auto" w:fill="auto"/>
            <w:noWrap/>
            <w:vAlign w:val="center"/>
            <w:hideMark/>
          </w:tcPr>
          <w:p w14:paraId="24324F0D" w14:textId="77777777" w:rsidR="00E818F7" w:rsidRPr="001116C5" w:rsidRDefault="00E818F7" w:rsidP="0086616B">
            <w:pPr>
              <w:rPr>
                <w:rFonts w:asciiTheme="minorHAnsi" w:hAnsiTheme="minorHAnsi" w:cstheme="minorHAnsi"/>
                <w:szCs w:val="22"/>
              </w:rPr>
            </w:pPr>
          </w:p>
        </w:tc>
        <w:tc>
          <w:tcPr>
            <w:tcW w:w="1276" w:type="dxa"/>
            <w:tcBorders>
              <w:top w:val="nil"/>
              <w:left w:val="nil"/>
              <w:bottom w:val="nil"/>
              <w:right w:val="nil"/>
            </w:tcBorders>
            <w:shd w:val="clear" w:color="auto" w:fill="auto"/>
            <w:noWrap/>
            <w:vAlign w:val="center"/>
          </w:tcPr>
          <w:p w14:paraId="390F5A79" w14:textId="77777777" w:rsidR="00E818F7" w:rsidRPr="001116C5" w:rsidRDefault="00E818F7" w:rsidP="0086616B">
            <w:pPr>
              <w:jc w:val="center"/>
              <w:rPr>
                <w:rFonts w:asciiTheme="minorHAnsi" w:hAnsiTheme="minorHAnsi" w:cstheme="minorHAnsi"/>
                <w:b/>
                <w:bCs/>
                <w:color w:val="000000"/>
                <w:szCs w:val="22"/>
              </w:rPr>
            </w:pPr>
          </w:p>
        </w:tc>
        <w:tc>
          <w:tcPr>
            <w:tcW w:w="283" w:type="dxa"/>
            <w:tcBorders>
              <w:top w:val="nil"/>
              <w:left w:val="nil"/>
              <w:bottom w:val="nil"/>
              <w:right w:val="nil"/>
            </w:tcBorders>
            <w:shd w:val="clear" w:color="auto" w:fill="auto"/>
            <w:noWrap/>
            <w:vAlign w:val="center"/>
          </w:tcPr>
          <w:p w14:paraId="1D0EA901" w14:textId="77777777" w:rsidR="00E818F7" w:rsidRPr="001116C5" w:rsidRDefault="00E818F7" w:rsidP="0086616B">
            <w:pPr>
              <w:rPr>
                <w:rFonts w:asciiTheme="minorHAnsi" w:hAnsiTheme="minorHAnsi" w:cstheme="minorHAnsi"/>
                <w:szCs w:val="22"/>
              </w:rPr>
            </w:pPr>
          </w:p>
        </w:tc>
        <w:tc>
          <w:tcPr>
            <w:tcW w:w="1276" w:type="dxa"/>
            <w:tcBorders>
              <w:top w:val="nil"/>
              <w:left w:val="nil"/>
              <w:bottom w:val="nil"/>
              <w:right w:val="nil"/>
            </w:tcBorders>
            <w:shd w:val="clear" w:color="auto" w:fill="auto"/>
            <w:noWrap/>
            <w:vAlign w:val="center"/>
          </w:tcPr>
          <w:p w14:paraId="5676450F" w14:textId="77777777" w:rsidR="00E818F7" w:rsidRPr="001116C5" w:rsidRDefault="00E818F7" w:rsidP="0086616B">
            <w:pPr>
              <w:rPr>
                <w:rFonts w:asciiTheme="minorHAnsi" w:hAnsiTheme="minorHAnsi" w:cstheme="minorHAnsi"/>
                <w:szCs w:val="22"/>
              </w:rPr>
            </w:pPr>
          </w:p>
        </w:tc>
        <w:tc>
          <w:tcPr>
            <w:tcW w:w="283" w:type="dxa"/>
            <w:tcBorders>
              <w:top w:val="nil"/>
              <w:left w:val="nil"/>
              <w:bottom w:val="nil"/>
              <w:right w:val="nil"/>
            </w:tcBorders>
            <w:shd w:val="clear" w:color="auto" w:fill="auto"/>
            <w:noWrap/>
            <w:vAlign w:val="center"/>
          </w:tcPr>
          <w:p w14:paraId="1244250C" w14:textId="77777777" w:rsidR="00E818F7" w:rsidRPr="001116C5" w:rsidRDefault="00E818F7" w:rsidP="0086616B">
            <w:pPr>
              <w:rPr>
                <w:rFonts w:asciiTheme="minorHAnsi" w:hAnsiTheme="minorHAnsi" w:cstheme="minorHAnsi"/>
                <w:szCs w:val="22"/>
              </w:rPr>
            </w:pPr>
          </w:p>
        </w:tc>
        <w:tc>
          <w:tcPr>
            <w:tcW w:w="1134" w:type="dxa"/>
            <w:tcBorders>
              <w:top w:val="nil"/>
              <w:left w:val="nil"/>
              <w:bottom w:val="nil"/>
              <w:right w:val="nil"/>
            </w:tcBorders>
            <w:shd w:val="clear" w:color="auto" w:fill="auto"/>
            <w:noWrap/>
            <w:vAlign w:val="center"/>
          </w:tcPr>
          <w:p w14:paraId="5B4DF39B" w14:textId="77777777" w:rsidR="00E818F7" w:rsidRPr="001116C5" w:rsidRDefault="00E818F7" w:rsidP="0086616B">
            <w:pPr>
              <w:rPr>
                <w:rFonts w:asciiTheme="minorHAnsi" w:hAnsiTheme="minorHAnsi" w:cstheme="minorHAnsi"/>
                <w:szCs w:val="22"/>
              </w:rPr>
            </w:pPr>
          </w:p>
        </w:tc>
        <w:tc>
          <w:tcPr>
            <w:tcW w:w="284" w:type="dxa"/>
            <w:tcBorders>
              <w:top w:val="nil"/>
              <w:left w:val="nil"/>
              <w:bottom w:val="nil"/>
              <w:right w:val="nil"/>
            </w:tcBorders>
            <w:shd w:val="clear" w:color="auto" w:fill="auto"/>
            <w:noWrap/>
            <w:vAlign w:val="center"/>
          </w:tcPr>
          <w:p w14:paraId="58876EA1" w14:textId="77777777" w:rsidR="00E818F7" w:rsidRPr="001116C5" w:rsidRDefault="00E818F7" w:rsidP="0086616B">
            <w:pPr>
              <w:rPr>
                <w:rFonts w:asciiTheme="minorHAnsi" w:hAnsiTheme="minorHAnsi" w:cstheme="minorHAnsi"/>
                <w:szCs w:val="22"/>
              </w:rPr>
            </w:pPr>
          </w:p>
        </w:tc>
        <w:tc>
          <w:tcPr>
            <w:tcW w:w="850" w:type="dxa"/>
            <w:tcBorders>
              <w:top w:val="nil"/>
              <w:left w:val="nil"/>
              <w:bottom w:val="nil"/>
              <w:right w:val="nil"/>
            </w:tcBorders>
            <w:shd w:val="clear" w:color="auto" w:fill="auto"/>
            <w:noWrap/>
            <w:vAlign w:val="center"/>
          </w:tcPr>
          <w:p w14:paraId="5EABF0DA" w14:textId="77777777" w:rsidR="00E818F7" w:rsidRPr="001116C5" w:rsidRDefault="00E818F7" w:rsidP="0086616B">
            <w:pPr>
              <w:rPr>
                <w:rFonts w:asciiTheme="minorHAnsi" w:hAnsiTheme="minorHAnsi" w:cstheme="minorHAnsi"/>
                <w:szCs w:val="22"/>
              </w:rPr>
            </w:pPr>
          </w:p>
        </w:tc>
      </w:tr>
      <w:tr w:rsidR="00E818F7" w:rsidRPr="001116C5" w14:paraId="53E28A0F" w14:textId="77777777" w:rsidTr="0086616B">
        <w:trPr>
          <w:trHeight w:val="315"/>
        </w:trPr>
        <w:tc>
          <w:tcPr>
            <w:tcW w:w="3067" w:type="dxa"/>
            <w:tcBorders>
              <w:top w:val="nil"/>
              <w:left w:val="nil"/>
              <w:bottom w:val="nil"/>
              <w:right w:val="nil"/>
            </w:tcBorders>
            <w:shd w:val="clear" w:color="auto" w:fill="auto"/>
            <w:noWrap/>
            <w:vAlign w:val="center"/>
          </w:tcPr>
          <w:p w14:paraId="11DB2811" w14:textId="77777777" w:rsidR="00E818F7" w:rsidRPr="001116C5" w:rsidRDefault="00E818F7" w:rsidP="0086616B">
            <w:pPr>
              <w:rPr>
                <w:rFonts w:asciiTheme="minorHAnsi" w:hAnsiTheme="minorHAnsi" w:cstheme="minorHAnsi"/>
                <w:b/>
                <w:bCs/>
                <w:color w:val="000000"/>
                <w:szCs w:val="22"/>
                <w:lang w:val="pt-PT"/>
              </w:rPr>
            </w:pPr>
            <w:r w:rsidRPr="001116C5">
              <w:rPr>
                <w:rFonts w:asciiTheme="minorHAnsi" w:hAnsiTheme="minorHAnsi" w:cstheme="minorHAnsi"/>
                <w:color w:val="000000"/>
                <w:szCs w:val="22"/>
                <w:lang w:val="pt-PT"/>
              </w:rPr>
              <w:t>Naknade ostalim osobama izvan radnog odnosa</w:t>
            </w:r>
          </w:p>
        </w:tc>
        <w:tc>
          <w:tcPr>
            <w:tcW w:w="992" w:type="dxa"/>
            <w:tcBorders>
              <w:top w:val="nil"/>
              <w:left w:val="nil"/>
              <w:bottom w:val="nil"/>
              <w:right w:val="nil"/>
            </w:tcBorders>
            <w:shd w:val="clear" w:color="auto" w:fill="auto"/>
            <w:noWrap/>
            <w:vAlign w:val="center"/>
          </w:tcPr>
          <w:p w14:paraId="1F9CBEAA" w14:textId="77777777" w:rsidR="00E818F7" w:rsidRPr="001116C5" w:rsidRDefault="00E818F7" w:rsidP="0086616B">
            <w:pPr>
              <w:rPr>
                <w:rFonts w:asciiTheme="minorHAnsi" w:hAnsiTheme="minorHAnsi" w:cstheme="minorHAnsi"/>
                <w:szCs w:val="22"/>
              </w:rPr>
            </w:pPr>
            <w:r w:rsidRPr="001116C5">
              <w:rPr>
                <w:rFonts w:asciiTheme="minorHAnsi" w:hAnsiTheme="minorHAnsi" w:cstheme="minorHAnsi"/>
                <w:color w:val="000000"/>
                <w:szCs w:val="22"/>
              </w:rPr>
              <w:t>AOP 1560</w:t>
            </w:r>
          </w:p>
        </w:tc>
        <w:tc>
          <w:tcPr>
            <w:tcW w:w="284" w:type="dxa"/>
            <w:tcBorders>
              <w:top w:val="nil"/>
              <w:left w:val="nil"/>
              <w:bottom w:val="nil"/>
              <w:right w:val="nil"/>
            </w:tcBorders>
            <w:shd w:val="clear" w:color="auto" w:fill="auto"/>
            <w:noWrap/>
            <w:vAlign w:val="center"/>
          </w:tcPr>
          <w:p w14:paraId="5B4B32DC" w14:textId="77777777" w:rsidR="00E818F7" w:rsidRPr="001116C5" w:rsidRDefault="00E818F7" w:rsidP="0086616B">
            <w:pPr>
              <w:rPr>
                <w:rFonts w:asciiTheme="minorHAnsi" w:hAnsiTheme="minorHAnsi" w:cstheme="minorHAnsi"/>
                <w:szCs w:val="22"/>
              </w:rPr>
            </w:pPr>
          </w:p>
        </w:tc>
        <w:tc>
          <w:tcPr>
            <w:tcW w:w="1276" w:type="dxa"/>
            <w:tcBorders>
              <w:top w:val="nil"/>
              <w:left w:val="nil"/>
              <w:bottom w:val="nil"/>
              <w:right w:val="nil"/>
            </w:tcBorders>
            <w:shd w:val="clear" w:color="auto" w:fill="auto"/>
            <w:noWrap/>
            <w:vAlign w:val="center"/>
          </w:tcPr>
          <w:p w14:paraId="6EEAF71D"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w:t>
            </w:r>
          </w:p>
        </w:tc>
        <w:tc>
          <w:tcPr>
            <w:tcW w:w="283" w:type="dxa"/>
            <w:tcBorders>
              <w:top w:val="nil"/>
              <w:left w:val="nil"/>
              <w:bottom w:val="nil"/>
              <w:right w:val="nil"/>
            </w:tcBorders>
            <w:shd w:val="clear" w:color="auto" w:fill="auto"/>
            <w:noWrap/>
            <w:vAlign w:val="center"/>
          </w:tcPr>
          <w:p w14:paraId="47170188" w14:textId="77777777" w:rsidR="00E818F7" w:rsidRPr="001116C5" w:rsidRDefault="00E818F7" w:rsidP="0086616B">
            <w:pPr>
              <w:jc w:val="right"/>
              <w:rPr>
                <w:rFonts w:asciiTheme="minorHAnsi" w:hAnsiTheme="minorHAnsi" w:cstheme="minorHAnsi"/>
                <w:szCs w:val="22"/>
              </w:rPr>
            </w:pPr>
          </w:p>
        </w:tc>
        <w:tc>
          <w:tcPr>
            <w:tcW w:w="1276" w:type="dxa"/>
            <w:tcBorders>
              <w:top w:val="nil"/>
              <w:left w:val="nil"/>
              <w:bottom w:val="nil"/>
              <w:right w:val="nil"/>
            </w:tcBorders>
            <w:shd w:val="clear" w:color="auto" w:fill="auto"/>
            <w:noWrap/>
            <w:vAlign w:val="center"/>
          </w:tcPr>
          <w:p w14:paraId="58A28AC2" w14:textId="77777777" w:rsidR="00E818F7" w:rsidRPr="001116C5" w:rsidRDefault="00E818F7" w:rsidP="0086616B">
            <w:pPr>
              <w:jc w:val="right"/>
              <w:rPr>
                <w:rFonts w:asciiTheme="minorHAnsi" w:hAnsiTheme="minorHAnsi" w:cstheme="minorHAnsi"/>
                <w:szCs w:val="22"/>
              </w:rPr>
            </w:pPr>
            <w:r w:rsidRPr="001116C5">
              <w:rPr>
                <w:rFonts w:asciiTheme="minorHAnsi" w:hAnsiTheme="minorHAnsi" w:cstheme="minorHAnsi"/>
                <w:color w:val="000000"/>
                <w:szCs w:val="22"/>
              </w:rPr>
              <w:t>440</w:t>
            </w:r>
          </w:p>
        </w:tc>
        <w:tc>
          <w:tcPr>
            <w:tcW w:w="283" w:type="dxa"/>
            <w:tcBorders>
              <w:top w:val="nil"/>
              <w:left w:val="nil"/>
              <w:bottom w:val="nil"/>
              <w:right w:val="nil"/>
            </w:tcBorders>
            <w:shd w:val="clear" w:color="auto" w:fill="auto"/>
            <w:noWrap/>
            <w:vAlign w:val="center"/>
          </w:tcPr>
          <w:p w14:paraId="6EB211D6" w14:textId="77777777" w:rsidR="00E818F7" w:rsidRPr="001116C5" w:rsidRDefault="00E818F7" w:rsidP="0086616B">
            <w:pPr>
              <w:jc w:val="right"/>
              <w:rPr>
                <w:rFonts w:asciiTheme="minorHAnsi" w:hAnsiTheme="minorHAnsi" w:cstheme="minorHAnsi"/>
                <w:szCs w:val="22"/>
              </w:rPr>
            </w:pPr>
          </w:p>
        </w:tc>
        <w:tc>
          <w:tcPr>
            <w:tcW w:w="1134" w:type="dxa"/>
            <w:tcBorders>
              <w:top w:val="nil"/>
              <w:left w:val="nil"/>
              <w:bottom w:val="nil"/>
              <w:right w:val="nil"/>
            </w:tcBorders>
            <w:shd w:val="clear" w:color="auto" w:fill="auto"/>
            <w:noWrap/>
            <w:vAlign w:val="center"/>
          </w:tcPr>
          <w:p w14:paraId="40632505" w14:textId="77777777" w:rsidR="00E818F7" w:rsidRPr="001116C5" w:rsidRDefault="00E818F7" w:rsidP="0086616B">
            <w:pPr>
              <w:jc w:val="right"/>
              <w:rPr>
                <w:rFonts w:asciiTheme="minorHAnsi" w:hAnsiTheme="minorHAnsi" w:cstheme="minorHAnsi"/>
                <w:szCs w:val="22"/>
              </w:rPr>
            </w:pPr>
            <w:r w:rsidRPr="001116C5">
              <w:rPr>
                <w:rFonts w:asciiTheme="minorHAnsi" w:hAnsiTheme="minorHAnsi" w:cstheme="minorHAnsi"/>
                <w:color w:val="000000"/>
                <w:szCs w:val="22"/>
              </w:rPr>
              <w:t>-</w:t>
            </w:r>
          </w:p>
        </w:tc>
        <w:tc>
          <w:tcPr>
            <w:tcW w:w="284" w:type="dxa"/>
            <w:tcBorders>
              <w:top w:val="nil"/>
              <w:left w:val="nil"/>
              <w:bottom w:val="nil"/>
              <w:right w:val="nil"/>
            </w:tcBorders>
            <w:shd w:val="clear" w:color="auto" w:fill="auto"/>
            <w:noWrap/>
            <w:vAlign w:val="center"/>
          </w:tcPr>
          <w:p w14:paraId="36900869" w14:textId="77777777" w:rsidR="00E818F7" w:rsidRPr="001116C5" w:rsidRDefault="00E818F7" w:rsidP="0086616B">
            <w:pPr>
              <w:jc w:val="right"/>
              <w:rPr>
                <w:rFonts w:asciiTheme="minorHAnsi" w:hAnsiTheme="minorHAnsi" w:cstheme="minorHAnsi"/>
                <w:szCs w:val="22"/>
              </w:rPr>
            </w:pPr>
          </w:p>
        </w:tc>
        <w:tc>
          <w:tcPr>
            <w:tcW w:w="850" w:type="dxa"/>
            <w:tcBorders>
              <w:top w:val="nil"/>
              <w:left w:val="nil"/>
              <w:bottom w:val="nil"/>
              <w:right w:val="nil"/>
            </w:tcBorders>
            <w:shd w:val="clear" w:color="auto" w:fill="auto"/>
            <w:noWrap/>
            <w:vAlign w:val="center"/>
          </w:tcPr>
          <w:p w14:paraId="4E9F6495" w14:textId="77777777" w:rsidR="00E818F7" w:rsidRPr="001116C5" w:rsidRDefault="00E818F7" w:rsidP="0086616B">
            <w:pPr>
              <w:jc w:val="right"/>
              <w:rPr>
                <w:rFonts w:asciiTheme="minorHAnsi" w:hAnsiTheme="minorHAnsi" w:cstheme="minorHAnsi"/>
                <w:szCs w:val="22"/>
              </w:rPr>
            </w:pPr>
            <w:r w:rsidRPr="001116C5">
              <w:rPr>
                <w:rFonts w:asciiTheme="minorHAnsi" w:hAnsiTheme="minorHAnsi" w:cstheme="minorHAnsi"/>
                <w:color w:val="000000"/>
                <w:szCs w:val="22"/>
              </w:rPr>
              <w:t>-</w:t>
            </w:r>
          </w:p>
        </w:tc>
      </w:tr>
      <w:tr w:rsidR="00E818F7" w:rsidRPr="001116C5" w14:paraId="24CEB9A1" w14:textId="77777777" w:rsidTr="0086616B">
        <w:trPr>
          <w:trHeight w:val="480"/>
        </w:trPr>
        <w:tc>
          <w:tcPr>
            <w:tcW w:w="3067" w:type="dxa"/>
            <w:tcBorders>
              <w:top w:val="nil"/>
              <w:left w:val="nil"/>
              <w:bottom w:val="nil"/>
              <w:right w:val="nil"/>
            </w:tcBorders>
            <w:shd w:val="clear" w:color="auto" w:fill="auto"/>
            <w:vAlign w:val="center"/>
            <w:hideMark/>
          </w:tcPr>
          <w:p w14:paraId="34D74ACD"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Obveze za dobavljače u zemlji</w:t>
            </w:r>
          </w:p>
        </w:tc>
        <w:tc>
          <w:tcPr>
            <w:tcW w:w="992" w:type="dxa"/>
            <w:tcBorders>
              <w:top w:val="nil"/>
              <w:left w:val="nil"/>
              <w:bottom w:val="nil"/>
              <w:right w:val="nil"/>
            </w:tcBorders>
            <w:shd w:val="clear" w:color="auto" w:fill="auto"/>
            <w:vAlign w:val="center"/>
            <w:hideMark/>
          </w:tcPr>
          <w:p w14:paraId="425D5CC9" w14:textId="77777777" w:rsidR="00E818F7" w:rsidRPr="001116C5" w:rsidRDefault="00E818F7" w:rsidP="0086616B">
            <w:pPr>
              <w:rPr>
                <w:rFonts w:asciiTheme="minorHAnsi" w:hAnsiTheme="minorHAnsi" w:cstheme="minorHAnsi"/>
                <w:color w:val="000000"/>
                <w:szCs w:val="22"/>
              </w:rPr>
            </w:pPr>
            <w:r w:rsidRPr="001116C5">
              <w:rPr>
                <w:rFonts w:asciiTheme="minorHAnsi" w:hAnsiTheme="minorHAnsi" w:cstheme="minorHAnsi"/>
                <w:color w:val="000000"/>
                <w:szCs w:val="22"/>
              </w:rPr>
              <w:t>AOP 161</w:t>
            </w:r>
          </w:p>
        </w:tc>
        <w:tc>
          <w:tcPr>
            <w:tcW w:w="284" w:type="dxa"/>
            <w:tcBorders>
              <w:top w:val="nil"/>
              <w:left w:val="nil"/>
              <w:bottom w:val="nil"/>
              <w:right w:val="nil"/>
            </w:tcBorders>
            <w:shd w:val="clear" w:color="auto" w:fill="auto"/>
            <w:vAlign w:val="center"/>
            <w:hideMark/>
          </w:tcPr>
          <w:p w14:paraId="12BD5B59" w14:textId="77777777" w:rsidR="00E818F7" w:rsidRPr="001116C5" w:rsidRDefault="00E818F7" w:rsidP="0086616B">
            <w:pPr>
              <w:rPr>
                <w:rFonts w:asciiTheme="minorHAnsi" w:hAnsiTheme="minorHAnsi" w:cstheme="minorHAnsi"/>
                <w:color w:val="000000"/>
                <w:szCs w:val="22"/>
              </w:rPr>
            </w:pPr>
          </w:p>
        </w:tc>
        <w:tc>
          <w:tcPr>
            <w:tcW w:w="1276" w:type="dxa"/>
            <w:tcBorders>
              <w:top w:val="nil"/>
              <w:left w:val="nil"/>
              <w:bottom w:val="single" w:sz="12" w:space="0" w:color="auto"/>
              <w:right w:val="nil"/>
            </w:tcBorders>
            <w:shd w:val="clear" w:color="auto" w:fill="auto"/>
            <w:vAlign w:val="center"/>
          </w:tcPr>
          <w:p w14:paraId="05660E06"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1.514</w:t>
            </w:r>
          </w:p>
        </w:tc>
        <w:tc>
          <w:tcPr>
            <w:tcW w:w="283" w:type="dxa"/>
            <w:tcBorders>
              <w:top w:val="nil"/>
              <w:left w:val="nil"/>
              <w:bottom w:val="nil"/>
              <w:right w:val="nil"/>
            </w:tcBorders>
            <w:shd w:val="clear" w:color="auto" w:fill="auto"/>
            <w:vAlign w:val="center"/>
          </w:tcPr>
          <w:p w14:paraId="3734A17F" w14:textId="77777777" w:rsidR="00E818F7" w:rsidRPr="001116C5" w:rsidRDefault="00E818F7" w:rsidP="0086616B">
            <w:pPr>
              <w:jc w:val="right"/>
              <w:rPr>
                <w:rFonts w:asciiTheme="minorHAnsi" w:hAnsiTheme="minorHAnsi" w:cstheme="minorHAnsi"/>
                <w:color w:val="000000"/>
                <w:szCs w:val="22"/>
              </w:rPr>
            </w:pPr>
          </w:p>
        </w:tc>
        <w:tc>
          <w:tcPr>
            <w:tcW w:w="1276" w:type="dxa"/>
            <w:tcBorders>
              <w:top w:val="nil"/>
              <w:left w:val="nil"/>
              <w:bottom w:val="single" w:sz="12" w:space="0" w:color="auto"/>
              <w:right w:val="nil"/>
            </w:tcBorders>
            <w:shd w:val="clear" w:color="auto" w:fill="auto"/>
            <w:vAlign w:val="center"/>
          </w:tcPr>
          <w:p w14:paraId="79244A24"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18.093</w:t>
            </w:r>
          </w:p>
        </w:tc>
        <w:tc>
          <w:tcPr>
            <w:tcW w:w="283" w:type="dxa"/>
            <w:tcBorders>
              <w:top w:val="nil"/>
              <w:left w:val="nil"/>
              <w:bottom w:val="nil"/>
              <w:right w:val="nil"/>
            </w:tcBorders>
            <w:shd w:val="clear" w:color="auto" w:fill="auto"/>
            <w:vAlign w:val="center"/>
          </w:tcPr>
          <w:p w14:paraId="003D5273" w14:textId="77777777" w:rsidR="00E818F7" w:rsidRPr="001116C5" w:rsidRDefault="00E818F7" w:rsidP="0086616B">
            <w:pPr>
              <w:jc w:val="right"/>
              <w:rPr>
                <w:rFonts w:asciiTheme="minorHAnsi" w:hAnsiTheme="minorHAnsi" w:cstheme="minorHAnsi"/>
                <w:color w:val="000000"/>
                <w:szCs w:val="22"/>
              </w:rPr>
            </w:pPr>
          </w:p>
        </w:tc>
        <w:tc>
          <w:tcPr>
            <w:tcW w:w="1134" w:type="dxa"/>
            <w:tcBorders>
              <w:top w:val="nil"/>
              <w:left w:val="nil"/>
              <w:bottom w:val="single" w:sz="12" w:space="0" w:color="auto"/>
              <w:right w:val="nil"/>
            </w:tcBorders>
            <w:shd w:val="clear" w:color="auto" w:fill="auto"/>
            <w:vAlign w:val="center"/>
          </w:tcPr>
          <w:p w14:paraId="4B90B38F"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16.579</w:t>
            </w:r>
          </w:p>
        </w:tc>
        <w:tc>
          <w:tcPr>
            <w:tcW w:w="284" w:type="dxa"/>
            <w:tcBorders>
              <w:top w:val="nil"/>
              <w:left w:val="nil"/>
              <w:bottom w:val="nil"/>
              <w:right w:val="nil"/>
            </w:tcBorders>
            <w:shd w:val="clear" w:color="auto" w:fill="auto"/>
            <w:vAlign w:val="center"/>
          </w:tcPr>
          <w:p w14:paraId="09454E1E" w14:textId="77777777" w:rsidR="00E818F7" w:rsidRPr="001116C5" w:rsidRDefault="00E818F7" w:rsidP="0086616B">
            <w:pPr>
              <w:jc w:val="right"/>
              <w:rPr>
                <w:rFonts w:asciiTheme="minorHAnsi" w:hAnsiTheme="minorHAnsi" w:cstheme="minorHAnsi"/>
                <w:color w:val="000000"/>
                <w:szCs w:val="22"/>
              </w:rPr>
            </w:pPr>
          </w:p>
        </w:tc>
        <w:tc>
          <w:tcPr>
            <w:tcW w:w="850" w:type="dxa"/>
            <w:tcBorders>
              <w:top w:val="nil"/>
              <w:left w:val="nil"/>
              <w:bottom w:val="single" w:sz="12" w:space="0" w:color="auto"/>
              <w:right w:val="nil"/>
            </w:tcBorders>
            <w:shd w:val="clear" w:color="auto" w:fill="auto"/>
            <w:vAlign w:val="center"/>
          </w:tcPr>
          <w:p w14:paraId="42D29C9B" w14:textId="77777777" w:rsidR="00E818F7" w:rsidRPr="001116C5" w:rsidRDefault="00E818F7" w:rsidP="0086616B">
            <w:pPr>
              <w:jc w:val="right"/>
              <w:rPr>
                <w:rFonts w:asciiTheme="minorHAnsi" w:hAnsiTheme="minorHAnsi" w:cstheme="minorHAnsi"/>
                <w:color w:val="000000"/>
                <w:szCs w:val="22"/>
              </w:rPr>
            </w:pPr>
            <w:r w:rsidRPr="001116C5">
              <w:rPr>
                <w:rFonts w:asciiTheme="minorHAnsi" w:hAnsiTheme="minorHAnsi" w:cstheme="minorHAnsi"/>
                <w:color w:val="000000"/>
                <w:szCs w:val="22"/>
              </w:rPr>
              <w:t>1.195,0</w:t>
            </w:r>
          </w:p>
        </w:tc>
      </w:tr>
      <w:tr w:rsidR="00E818F7" w:rsidRPr="001116C5" w14:paraId="47AF83EC" w14:textId="77777777" w:rsidTr="0086616B">
        <w:trPr>
          <w:trHeight w:val="315"/>
        </w:trPr>
        <w:tc>
          <w:tcPr>
            <w:tcW w:w="3067" w:type="dxa"/>
            <w:tcBorders>
              <w:top w:val="nil"/>
              <w:left w:val="nil"/>
              <w:bottom w:val="nil"/>
              <w:right w:val="nil"/>
            </w:tcBorders>
            <w:shd w:val="clear" w:color="auto" w:fill="auto"/>
            <w:noWrap/>
            <w:vAlign w:val="center"/>
            <w:hideMark/>
          </w:tcPr>
          <w:p w14:paraId="29B42EBB"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Ukupno</w:t>
            </w:r>
          </w:p>
        </w:tc>
        <w:tc>
          <w:tcPr>
            <w:tcW w:w="992" w:type="dxa"/>
            <w:tcBorders>
              <w:top w:val="nil"/>
              <w:left w:val="nil"/>
              <w:bottom w:val="nil"/>
              <w:right w:val="nil"/>
            </w:tcBorders>
            <w:shd w:val="clear" w:color="auto" w:fill="auto"/>
            <w:vAlign w:val="center"/>
            <w:hideMark/>
          </w:tcPr>
          <w:p w14:paraId="00717C3A" w14:textId="77777777" w:rsidR="00E818F7" w:rsidRPr="001116C5" w:rsidRDefault="00E818F7" w:rsidP="0086616B">
            <w:pPr>
              <w:rPr>
                <w:rFonts w:asciiTheme="minorHAnsi" w:hAnsiTheme="minorHAnsi" w:cstheme="minorHAnsi"/>
                <w:b/>
                <w:bCs/>
                <w:color w:val="000000"/>
                <w:szCs w:val="22"/>
              </w:rPr>
            </w:pPr>
            <w:r w:rsidRPr="001116C5">
              <w:rPr>
                <w:rFonts w:asciiTheme="minorHAnsi" w:hAnsiTheme="minorHAnsi" w:cstheme="minorHAnsi"/>
                <w:b/>
                <w:bCs/>
                <w:color w:val="000000"/>
                <w:szCs w:val="22"/>
              </w:rPr>
              <w:t>AOP 156</w:t>
            </w:r>
          </w:p>
        </w:tc>
        <w:tc>
          <w:tcPr>
            <w:tcW w:w="284" w:type="dxa"/>
            <w:tcBorders>
              <w:top w:val="nil"/>
              <w:left w:val="nil"/>
              <w:bottom w:val="nil"/>
              <w:right w:val="nil"/>
            </w:tcBorders>
            <w:shd w:val="clear" w:color="auto" w:fill="auto"/>
            <w:vAlign w:val="center"/>
            <w:hideMark/>
          </w:tcPr>
          <w:p w14:paraId="1CB76AB4" w14:textId="77777777" w:rsidR="00E818F7" w:rsidRPr="001116C5" w:rsidRDefault="00E818F7" w:rsidP="0086616B">
            <w:pPr>
              <w:rPr>
                <w:rFonts w:asciiTheme="minorHAnsi" w:hAnsiTheme="minorHAnsi" w:cstheme="minorHAnsi"/>
                <w:b/>
                <w:bCs/>
                <w:color w:val="000000"/>
                <w:szCs w:val="22"/>
              </w:rPr>
            </w:pPr>
          </w:p>
        </w:tc>
        <w:tc>
          <w:tcPr>
            <w:tcW w:w="1276" w:type="dxa"/>
            <w:tcBorders>
              <w:top w:val="single" w:sz="12" w:space="0" w:color="auto"/>
              <w:left w:val="nil"/>
              <w:bottom w:val="single" w:sz="12" w:space="0" w:color="auto"/>
              <w:right w:val="nil"/>
            </w:tcBorders>
            <w:shd w:val="clear" w:color="auto" w:fill="auto"/>
            <w:noWrap/>
            <w:vAlign w:val="center"/>
          </w:tcPr>
          <w:p w14:paraId="4385469F"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1.514</w:t>
            </w:r>
          </w:p>
        </w:tc>
        <w:tc>
          <w:tcPr>
            <w:tcW w:w="283" w:type="dxa"/>
            <w:tcBorders>
              <w:top w:val="nil"/>
              <w:left w:val="nil"/>
              <w:bottom w:val="nil"/>
              <w:right w:val="nil"/>
            </w:tcBorders>
            <w:shd w:val="clear" w:color="auto" w:fill="auto"/>
            <w:noWrap/>
            <w:vAlign w:val="center"/>
          </w:tcPr>
          <w:p w14:paraId="6AF30ED3" w14:textId="77777777" w:rsidR="00E818F7" w:rsidRPr="001116C5" w:rsidRDefault="00E818F7" w:rsidP="0086616B">
            <w:pPr>
              <w:jc w:val="right"/>
              <w:rPr>
                <w:rFonts w:asciiTheme="minorHAnsi" w:hAnsiTheme="minorHAnsi" w:cstheme="minorHAnsi"/>
                <w:b/>
                <w:bCs/>
                <w:color w:val="000000"/>
                <w:szCs w:val="22"/>
              </w:rPr>
            </w:pPr>
          </w:p>
        </w:tc>
        <w:tc>
          <w:tcPr>
            <w:tcW w:w="1276" w:type="dxa"/>
            <w:tcBorders>
              <w:top w:val="single" w:sz="12" w:space="0" w:color="auto"/>
              <w:left w:val="nil"/>
              <w:bottom w:val="single" w:sz="12" w:space="0" w:color="auto"/>
              <w:right w:val="nil"/>
            </w:tcBorders>
            <w:shd w:val="clear" w:color="auto" w:fill="auto"/>
            <w:noWrap/>
            <w:vAlign w:val="center"/>
          </w:tcPr>
          <w:p w14:paraId="098C9AB5"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18.533</w:t>
            </w:r>
          </w:p>
        </w:tc>
        <w:tc>
          <w:tcPr>
            <w:tcW w:w="283" w:type="dxa"/>
            <w:tcBorders>
              <w:top w:val="nil"/>
              <w:left w:val="nil"/>
              <w:bottom w:val="nil"/>
              <w:right w:val="nil"/>
            </w:tcBorders>
            <w:shd w:val="clear" w:color="auto" w:fill="auto"/>
            <w:vAlign w:val="center"/>
          </w:tcPr>
          <w:p w14:paraId="7217D483" w14:textId="77777777" w:rsidR="00E818F7" w:rsidRPr="001116C5" w:rsidRDefault="00E818F7" w:rsidP="0086616B">
            <w:pPr>
              <w:jc w:val="right"/>
              <w:rPr>
                <w:rFonts w:asciiTheme="minorHAnsi" w:hAnsiTheme="minorHAnsi" w:cstheme="minorHAnsi"/>
                <w:b/>
                <w:bCs/>
                <w:color w:val="000000"/>
                <w:szCs w:val="22"/>
              </w:rPr>
            </w:pPr>
          </w:p>
        </w:tc>
        <w:tc>
          <w:tcPr>
            <w:tcW w:w="1134" w:type="dxa"/>
            <w:tcBorders>
              <w:top w:val="single" w:sz="12" w:space="0" w:color="auto"/>
              <w:left w:val="nil"/>
              <w:bottom w:val="single" w:sz="12" w:space="0" w:color="auto"/>
              <w:right w:val="nil"/>
            </w:tcBorders>
            <w:shd w:val="clear" w:color="auto" w:fill="auto"/>
            <w:noWrap/>
            <w:vAlign w:val="center"/>
          </w:tcPr>
          <w:p w14:paraId="17409FBA"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17.019</w:t>
            </w:r>
          </w:p>
        </w:tc>
        <w:tc>
          <w:tcPr>
            <w:tcW w:w="284" w:type="dxa"/>
            <w:tcBorders>
              <w:top w:val="nil"/>
              <w:left w:val="nil"/>
              <w:bottom w:val="nil"/>
              <w:right w:val="nil"/>
            </w:tcBorders>
            <w:shd w:val="clear" w:color="auto" w:fill="auto"/>
            <w:vAlign w:val="center"/>
          </w:tcPr>
          <w:p w14:paraId="253C590C" w14:textId="77777777" w:rsidR="00E818F7" w:rsidRPr="001116C5" w:rsidRDefault="00E818F7" w:rsidP="0086616B">
            <w:pPr>
              <w:jc w:val="right"/>
              <w:rPr>
                <w:rFonts w:asciiTheme="minorHAnsi" w:hAnsiTheme="minorHAnsi" w:cstheme="minorHAnsi"/>
                <w:b/>
                <w:bCs/>
                <w:color w:val="000000"/>
                <w:szCs w:val="22"/>
              </w:rPr>
            </w:pPr>
          </w:p>
        </w:tc>
        <w:tc>
          <w:tcPr>
            <w:tcW w:w="850" w:type="dxa"/>
            <w:tcBorders>
              <w:top w:val="single" w:sz="12" w:space="0" w:color="auto"/>
              <w:left w:val="nil"/>
              <w:bottom w:val="single" w:sz="12" w:space="0" w:color="auto"/>
              <w:right w:val="nil"/>
            </w:tcBorders>
            <w:shd w:val="clear" w:color="auto" w:fill="auto"/>
            <w:noWrap/>
            <w:vAlign w:val="center"/>
          </w:tcPr>
          <w:p w14:paraId="1730D6DC" w14:textId="77777777" w:rsidR="00E818F7" w:rsidRPr="001116C5" w:rsidRDefault="00E818F7" w:rsidP="0086616B">
            <w:pPr>
              <w:jc w:val="right"/>
              <w:rPr>
                <w:rFonts w:asciiTheme="minorHAnsi" w:hAnsiTheme="minorHAnsi" w:cstheme="minorHAnsi"/>
                <w:b/>
                <w:bCs/>
                <w:color w:val="000000"/>
                <w:szCs w:val="22"/>
              </w:rPr>
            </w:pPr>
            <w:r w:rsidRPr="001116C5">
              <w:rPr>
                <w:rFonts w:asciiTheme="minorHAnsi" w:hAnsiTheme="minorHAnsi" w:cstheme="minorHAnsi"/>
                <w:b/>
                <w:bCs/>
                <w:color w:val="000000"/>
                <w:szCs w:val="22"/>
              </w:rPr>
              <w:t>1.224,1</w:t>
            </w:r>
          </w:p>
        </w:tc>
      </w:tr>
    </w:tbl>
    <w:p w14:paraId="3364D1F2" w14:textId="77777777" w:rsidR="00E818F7" w:rsidRPr="001116C5" w:rsidRDefault="00E818F7" w:rsidP="00E818F7">
      <w:pPr>
        <w:pStyle w:val="NoSpacing"/>
        <w:rPr>
          <w:rFonts w:asciiTheme="minorHAnsi" w:hAnsiTheme="minorHAnsi" w:cstheme="minorHAnsi"/>
          <w:sz w:val="22"/>
          <w:szCs w:val="22"/>
        </w:rPr>
      </w:pPr>
    </w:p>
    <w:p w14:paraId="3BCFD304"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rPr>
      </w:pPr>
      <w:r w:rsidRPr="001116C5">
        <w:rPr>
          <w:rFonts w:asciiTheme="minorHAnsi" w:hAnsiTheme="minorHAnsi" w:cstheme="minorHAnsi"/>
          <w:b/>
          <w:szCs w:val="22"/>
        </w:rPr>
        <w:t xml:space="preserve">12. </w:t>
      </w:r>
      <w:r w:rsidRPr="001116C5">
        <w:rPr>
          <w:rFonts w:asciiTheme="minorHAnsi" w:hAnsiTheme="minorHAnsi" w:cstheme="minorHAnsi"/>
          <w:b/>
          <w:szCs w:val="22"/>
        </w:rPr>
        <w:tab/>
        <w:t>OBVEZE ZA POREZE</w:t>
      </w:r>
    </w:p>
    <w:p w14:paraId="2EDF18A5" w14:textId="77777777" w:rsidR="00E818F7" w:rsidRPr="001116C5" w:rsidRDefault="00E818F7" w:rsidP="00E818F7">
      <w:pPr>
        <w:pStyle w:val="BodyText3"/>
        <w:rPr>
          <w:rFonts w:asciiTheme="minorHAnsi" w:hAnsiTheme="minorHAnsi" w:cstheme="minorHAnsi"/>
          <w:b/>
          <w:sz w:val="22"/>
          <w:szCs w:val="22"/>
        </w:rPr>
      </w:pPr>
    </w:p>
    <w:p w14:paraId="3FC143C3" w14:textId="77777777" w:rsidR="00E818F7" w:rsidRPr="001116C5" w:rsidRDefault="00E818F7" w:rsidP="00E818F7">
      <w:pPr>
        <w:spacing w:line="360" w:lineRule="auto"/>
        <w:rPr>
          <w:rFonts w:asciiTheme="minorHAnsi" w:hAnsiTheme="minorHAnsi" w:cstheme="minorHAnsi"/>
          <w:szCs w:val="22"/>
        </w:rPr>
      </w:pPr>
      <w:r w:rsidRPr="001116C5">
        <w:rPr>
          <w:rFonts w:asciiTheme="minorHAnsi" w:hAnsiTheme="minorHAnsi" w:cstheme="minorHAnsi"/>
          <w:szCs w:val="22"/>
        </w:rPr>
        <w:t>Centar je obveznik poreza na dohodak za zaposlenike i za osobe izvan radnog odnosa s kojima sklapa  ugovore o djelu i ugovore o autorskom djelu.</w:t>
      </w:r>
    </w:p>
    <w:p w14:paraId="7451772A" w14:textId="77777777" w:rsidR="00E818F7" w:rsidRPr="001116C5" w:rsidRDefault="00E818F7" w:rsidP="00E818F7">
      <w:pPr>
        <w:spacing w:line="360" w:lineRule="auto"/>
        <w:rPr>
          <w:rFonts w:asciiTheme="minorHAnsi" w:hAnsiTheme="minorHAnsi" w:cstheme="minorHAnsi"/>
          <w:szCs w:val="22"/>
        </w:rPr>
      </w:pPr>
      <w:r w:rsidRPr="001116C5">
        <w:rPr>
          <w:rFonts w:asciiTheme="minorHAnsi" w:hAnsiTheme="minorHAnsi" w:cstheme="minorHAnsi"/>
          <w:szCs w:val="22"/>
        </w:rPr>
        <w:t xml:space="preserve">U skladu s poreznim propisima, Porezna uprava ima pravo u bilo koje doba pregledati poslovne knjige Centra  u razdoblju od tri godine nakon isteka godine u kojoj je porezna obveza iskazana, te može uvesti dodatne porezne obveze i odrediti kazne. Centru nisu poznate nikakve okolnosti koje bi mogle dovesti do značajnih obveza glede toga. </w:t>
      </w:r>
    </w:p>
    <w:p w14:paraId="7455729A" w14:textId="77777777" w:rsidR="00E818F7" w:rsidRPr="001116C5" w:rsidRDefault="00E818F7" w:rsidP="00E818F7">
      <w:pPr>
        <w:spacing w:line="360" w:lineRule="auto"/>
        <w:rPr>
          <w:rFonts w:asciiTheme="minorHAnsi" w:hAnsiTheme="minorHAnsi" w:cstheme="minorHAnsi"/>
          <w:szCs w:val="22"/>
        </w:rPr>
      </w:pPr>
    </w:p>
    <w:p w14:paraId="0D1A70F7"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rPr>
      </w:pPr>
      <w:r w:rsidRPr="001116C5">
        <w:rPr>
          <w:rFonts w:asciiTheme="minorHAnsi" w:hAnsiTheme="minorHAnsi" w:cstheme="minorHAnsi"/>
          <w:b/>
          <w:szCs w:val="22"/>
        </w:rPr>
        <w:t xml:space="preserve">13.  </w:t>
      </w:r>
      <w:r w:rsidRPr="001116C5">
        <w:rPr>
          <w:rFonts w:asciiTheme="minorHAnsi" w:hAnsiTheme="minorHAnsi" w:cstheme="minorHAnsi"/>
          <w:b/>
          <w:szCs w:val="22"/>
        </w:rPr>
        <w:tab/>
        <w:t>VLASTITI IZVORI</w:t>
      </w:r>
    </w:p>
    <w:p w14:paraId="4A6C6050" w14:textId="77777777" w:rsidR="00E818F7" w:rsidRPr="001116C5" w:rsidRDefault="00E818F7" w:rsidP="00E818F7">
      <w:pPr>
        <w:pStyle w:val="NoSpacing"/>
        <w:rPr>
          <w:rFonts w:asciiTheme="minorHAnsi" w:hAnsiTheme="minorHAnsi" w:cstheme="minorHAnsi"/>
          <w:sz w:val="22"/>
          <w:szCs w:val="22"/>
        </w:rPr>
      </w:pPr>
    </w:p>
    <w:p w14:paraId="3AB7B9D3" w14:textId="05C0428D" w:rsidR="00E818F7" w:rsidRPr="001116C5" w:rsidRDefault="00E818F7" w:rsidP="001116C5">
      <w:pPr>
        <w:pStyle w:val="NoSpacing"/>
        <w:rPr>
          <w:rFonts w:asciiTheme="minorHAnsi" w:hAnsiTheme="minorHAnsi" w:cstheme="minorHAnsi"/>
          <w:sz w:val="22"/>
          <w:szCs w:val="22"/>
          <w:lang w:eastAsia="hr-HR"/>
        </w:rPr>
      </w:pPr>
      <w:r w:rsidRPr="001116C5">
        <w:rPr>
          <w:rFonts w:asciiTheme="minorHAnsi" w:hAnsiTheme="minorHAnsi" w:cstheme="minorHAnsi"/>
          <w:sz w:val="22"/>
          <w:szCs w:val="22"/>
          <w:lang w:eastAsia="hr-HR"/>
        </w:rPr>
        <w:t>U okviru vlastitih izvora AOP 195, prikazuju se vlastiti izvori, višak prihoda ili rashoda tekućeg razdoblja i preneseni višak prihoda ili rashoda iz ranijih razdoblja. Ukupan iznos vlastitih izvora na dan bilance je 20.590 EUR (31.12.2022: 44.978 EUR).</w:t>
      </w:r>
    </w:p>
    <w:p w14:paraId="582ED4FB"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de-AT"/>
        </w:rPr>
      </w:pPr>
      <w:r w:rsidRPr="001116C5">
        <w:rPr>
          <w:rFonts w:asciiTheme="minorHAnsi" w:hAnsiTheme="minorHAnsi" w:cstheme="minorHAnsi"/>
          <w:b/>
          <w:szCs w:val="22"/>
          <w:lang w:val="de-AT"/>
        </w:rPr>
        <w:lastRenderedPageBreak/>
        <w:t xml:space="preserve">14. </w:t>
      </w:r>
      <w:r w:rsidRPr="001116C5">
        <w:rPr>
          <w:rFonts w:asciiTheme="minorHAnsi" w:hAnsiTheme="minorHAnsi" w:cstheme="minorHAnsi"/>
          <w:b/>
          <w:szCs w:val="22"/>
          <w:lang w:val="de-AT"/>
        </w:rPr>
        <w:tab/>
        <w:t>IZVANBILANČNI ZAPISI</w:t>
      </w:r>
    </w:p>
    <w:p w14:paraId="17AD7E06" w14:textId="77777777" w:rsidR="00E818F7" w:rsidRPr="001116C5" w:rsidRDefault="00E818F7" w:rsidP="00E818F7">
      <w:pPr>
        <w:pStyle w:val="NoSpacing"/>
        <w:rPr>
          <w:rFonts w:asciiTheme="minorHAnsi" w:hAnsiTheme="minorHAnsi" w:cstheme="minorHAnsi"/>
          <w:sz w:val="22"/>
          <w:szCs w:val="22"/>
        </w:rPr>
      </w:pPr>
    </w:p>
    <w:p w14:paraId="75C861AD" w14:textId="77777777" w:rsidR="00E818F7" w:rsidRPr="001116C5" w:rsidRDefault="00E818F7" w:rsidP="00E818F7">
      <w:pPr>
        <w:spacing w:line="360" w:lineRule="auto"/>
        <w:rPr>
          <w:rFonts w:asciiTheme="minorHAnsi" w:hAnsiTheme="minorHAnsi" w:cstheme="minorHAnsi"/>
          <w:szCs w:val="22"/>
          <w:lang w:val="hr-HR"/>
        </w:rPr>
      </w:pPr>
      <w:r w:rsidRPr="001116C5">
        <w:rPr>
          <w:rFonts w:asciiTheme="minorHAnsi" w:hAnsiTheme="minorHAnsi" w:cstheme="minorHAnsi"/>
          <w:szCs w:val="22"/>
          <w:lang w:val="hr-HR"/>
        </w:rPr>
        <w:t xml:space="preserve">Centar u Izvanbilančnim zapisima iskazuje korištenje tuđeg poslovnog prostora na adresi Kraj sv. Ivana 11 u iznosu od 1 EUR budući da prostor koristi bez naknade. </w:t>
      </w:r>
    </w:p>
    <w:p w14:paraId="23581E37" w14:textId="77777777" w:rsidR="00E818F7" w:rsidRPr="001116C5" w:rsidRDefault="00E818F7" w:rsidP="00E818F7">
      <w:pPr>
        <w:pStyle w:val="NoSpacing"/>
        <w:rPr>
          <w:rFonts w:asciiTheme="minorHAnsi" w:hAnsiTheme="minorHAnsi" w:cstheme="minorHAnsi"/>
          <w:sz w:val="22"/>
          <w:szCs w:val="22"/>
        </w:rPr>
      </w:pPr>
    </w:p>
    <w:p w14:paraId="068BDAE8" w14:textId="77777777" w:rsidR="00E818F7" w:rsidRPr="001116C5" w:rsidRDefault="00E818F7" w:rsidP="00E818F7">
      <w:pPr>
        <w:tabs>
          <w:tab w:val="left" w:pos="567"/>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cstheme="minorHAnsi"/>
          <w:b/>
          <w:szCs w:val="22"/>
          <w:lang w:val="hr-HR"/>
        </w:rPr>
      </w:pPr>
      <w:r w:rsidRPr="001116C5">
        <w:rPr>
          <w:rFonts w:asciiTheme="minorHAnsi" w:hAnsiTheme="minorHAnsi" w:cstheme="minorHAnsi"/>
          <w:b/>
          <w:szCs w:val="22"/>
          <w:lang w:val="hr-HR"/>
        </w:rPr>
        <w:t xml:space="preserve">15. </w:t>
      </w:r>
      <w:r w:rsidRPr="001116C5">
        <w:rPr>
          <w:rFonts w:asciiTheme="minorHAnsi" w:hAnsiTheme="minorHAnsi" w:cstheme="minorHAnsi"/>
          <w:b/>
          <w:szCs w:val="22"/>
          <w:lang w:val="hr-HR"/>
        </w:rPr>
        <w:tab/>
        <w:t>UGOVORNI ODNOSI</w:t>
      </w:r>
    </w:p>
    <w:p w14:paraId="3E59AF3A" w14:textId="77777777" w:rsidR="00E818F7" w:rsidRPr="001116C5" w:rsidRDefault="00E818F7" w:rsidP="00E818F7">
      <w:pPr>
        <w:pStyle w:val="NoSpacing"/>
        <w:rPr>
          <w:rFonts w:asciiTheme="minorHAnsi" w:hAnsiTheme="minorHAnsi" w:cstheme="minorHAnsi"/>
          <w:sz w:val="22"/>
          <w:szCs w:val="22"/>
        </w:rPr>
      </w:pPr>
    </w:p>
    <w:p w14:paraId="11A41FB6" w14:textId="77777777" w:rsidR="00E818F7" w:rsidRPr="001116C5" w:rsidRDefault="00E818F7" w:rsidP="00E818F7">
      <w:pPr>
        <w:spacing w:line="360" w:lineRule="auto"/>
        <w:rPr>
          <w:rFonts w:asciiTheme="minorHAnsi" w:hAnsiTheme="minorHAnsi" w:cstheme="minorHAnsi"/>
          <w:color w:val="FF0000"/>
          <w:szCs w:val="22"/>
          <w:lang w:val="pt-PT"/>
        </w:rPr>
      </w:pPr>
      <w:r w:rsidRPr="001116C5">
        <w:rPr>
          <w:rFonts w:asciiTheme="minorHAnsi" w:hAnsiTheme="minorHAnsi" w:cstheme="minorHAnsi"/>
          <w:szCs w:val="22"/>
          <w:lang w:val="hr-HR"/>
        </w:rPr>
        <w:t xml:space="preserve">U okviru redovnog poslovanja Centar je u 2023. godini  sklapao ugovore o autorskom honoraru, ugovore o dijelu i poslovne ugovore po kojima nužno nastaju troškovi. </w:t>
      </w:r>
      <w:r w:rsidRPr="001116C5">
        <w:rPr>
          <w:rFonts w:asciiTheme="minorHAnsi" w:hAnsiTheme="minorHAnsi" w:cstheme="minorHAnsi"/>
          <w:szCs w:val="22"/>
          <w:lang w:val="pt-PT"/>
        </w:rPr>
        <w:t>Na dan 31. prosinac 2023. godine Centar ima 18 (2022: 21) otvorenih ugovora ukupne nerealizirane vrijednosti 307.314 EUR</w:t>
      </w:r>
      <w:r w:rsidRPr="001116C5">
        <w:rPr>
          <w:rFonts w:asciiTheme="minorHAnsi" w:hAnsiTheme="minorHAnsi" w:cstheme="minorHAnsi"/>
          <w:color w:val="FF0000"/>
          <w:szCs w:val="22"/>
          <w:lang w:val="pt-PT"/>
        </w:rPr>
        <w:t xml:space="preserve"> </w:t>
      </w:r>
      <w:r w:rsidRPr="001116C5">
        <w:rPr>
          <w:rFonts w:asciiTheme="minorHAnsi" w:hAnsiTheme="minorHAnsi" w:cstheme="minorHAnsi"/>
          <w:szCs w:val="22"/>
          <w:lang w:val="pt-PT"/>
        </w:rPr>
        <w:t>(2022: 242.508,60 eura). Realizacija po navedenim</w:t>
      </w:r>
      <w:r w:rsidRPr="001116C5">
        <w:rPr>
          <w:rFonts w:asciiTheme="minorHAnsi" w:hAnsiTheme="minorHAnsi" w:cstheme="minorHAnsi"/>
          <w:color w:val="1F497D"/>
          <w:szCs w:val="22"/>
          <w:lang w:val="pt-PT"/>
        </w:rPr>
        <w:t xml:space="preserve"> </w:t>
      </w:r>
      <w:r w:rsidRPr="001116C5">
        <w:rPr>
          <w:rFonts w:asciiTheme="minorHAnsi" w:hAnsiTheme="minorHAnsi" w:cstheme="minorHAnsi"/>
          <w:szCs w:val="22"/>
          <w:lang w:val="pt-PT"/>
        </w:rPr>
        <w:t>ugovorima izvršit će se u 2024. godini.</w:t>
      </w:r>
    </w:p>
    <w:p w14:paraId="60614236" w14:textId="77777777" w:rsidR="00E818F7" w:rsidRPr="001116C5" w:rsidRDefault="00E818F7" w:rsidP="00E818F7">
      <w:pPr>
        <w:pStyle w:val="NoSpacing"/>
        <w:rPr>
          <w:rFonts w:asciiTheme="minorHAnsi" w:hAnsiTheme="minorHAnsi" w:cstheme="minorHAnsi"/>
          <w:sz w:val="22"/>
          <w:szCs w:val="22"/>
        </w:rPr>
      </w:pPr>
      <w:r w:rsidRPr="001116C5">
        <w:rPr>
          <w:rFonts w:asciiTheme="minorHAnsi" w:hAnsiTheme="minorHAnsi" w:cstheme="minorHAnsi"/>
          <w:sz w:val="22"/>
          <w:szCs w:val="22"/>
        </w:rPr>
        <w:t> </w:t>
      </w:r>
    </w:p>
    <w:p w14:paraId="0E35FB32" w14:textId="77777777" w:rsidR="00E818F7" w:rsidRPr="001116C5" w:rsidRDefault="00E818F7" w:rsidP="00E818F7">
      <w:pPr>
        <w:rPr>
          <w:rFonts w:asciiTheme="minorHAnsi" w:hAnsiTheme="minorHAnsi" w:cstheme="minorHAnsi"/>
          <w:szCs w:val="22"/>
          <w:lang w:val="pt-PT"/>
        </w:rPr>
      </w:pPr>
    </w:p>
    <w:p w14:paraId="661E2C88" w14:textId="77777777" w:rsidR="00C96BE6" w:rsidRPr="001116C5" w:rsidRDefault="00C96BE6" w:rsidP="00C96BE6">
      <w:pPr>
        <w:pStyle w:val="NoSpacing"/>
        <w:rPr>
          <w:rFonts w:asciiTheme="minorHAnsi" w:hAnsiTheme="minorHAnsi" w:cstheme="minorHAnsi"/>
          <w:sz w:val="22"/>
          <w:szCs w:val="22"/>
        </w:rPr>
      </w:pPr>
    </w:p>
    <w:p w14:paraId="2E9F396B" w14:textId="7FE2A6FF" w:rsidR="00C96BE6" w:rsidRPr="001116C5" w:rsidRDefault="00E818F7" w:rsidP="00C96B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heme="minorHAnsi" w:hAnsiTheme="minorHAnsi" w:cstheme="minorHAnsi"/>
          <w:szCs w:val="22"/>
          <w:lang w:val="hr-HR"/>
        </w:rPr>
      </w:pPr>
      <w:r w:rsidRPr="001116C5">
        <w:rPr>
          <w:rFonts w:asciiTheme="minorHAnsi" w:hAnsiTheme="minorHAnsi" w:cstheme="minorHAnsi"/>
          <w:szCs w:val="22"/>
          <w:lang w:val="hr-HR"/>
        </w:rPr>
        <w:t>v.d. r</w:t>
      </w:r>
      <w:r w:rsidR="00C96BE6" w:rsidRPr="001116C5">
        <w:rPr>
          <w:rFonts w:asciiTheme="minorHAnsi" w:hAnsiTheme="minorHAnsi" w:cstheme="minorHAnsi"/>
          <w:szCs w:val="22"/>
          <w:lang w:val="hr-HR"/>
        </w:rPr>
        <w:t>avnatelj</w:t>
      </w:r>
      <w:r w:rsidRPr="001116C5">
        <w:rPr>
          <w:rFonts w:asciiTheme="minorHAnsi" w:hAnsiTheme="minorHAnsi" w:cstheme="minorHAnsi"/>
          <w:szCs w:val="22"/>
          <w:lang w:val="hr-HR"/>
        </w:rPr>
        <w:t>a</w:t>
      </w:r>
      <w:r w:rsidR="00C96BE6" w:rsidRPr="001116C5">
        <w:rPr>
          <w:rFonts w:asciiTheme="minorHAnsi" w:hAnsiTheme="minorHAnsi" w:cstheme="minorHAnsi"/>
          <w:szCs w:val="22"/>
          <w:lang w:val="hr-HR"/>
        </w:rPr>
        <w:t>:</w:t>
      </w:r>
    </w:p>
    <w:p w14:paraId="2D6A99CF" w14:textId="77777777" w:rsidR="00C96BE6" w:rsidRPr="001116C5" w:rsidRDefault="00C96BE6" w:rsidP="00C96B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heme="minorHAnsi" w:hAnsiTheme="minorHAnsi" w:cstheme="minorHAnsi"/>
          <w:szCs w:val="22"/>
          <w:lang w:val="hr-HR"/>
        </w:rPr>
      </w:pPr>
    </w:p>
    <w:p w14:paraId="6D9B6F2A" w14:textId="77777777" w:rsidR="00C96BE6" w:rsidRPr="001116C5" w:rsidRDefault="00C96BE6" w:rsidP="00C96BE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heme="minorHAnsi" w:hAnsiTheme="minorHAnsi" w:cstheme="minorHAnsi"/>
          <w:szCs w:val="22"/>
          <w:lang w:val="hr-HR"/>
        </w:rPr>
      </w:pPr>
      <w:r w:rsidRPr="001116C5">
        <w:rPr>
          <w:rFonts w:asciiTheme="minorHAnsi" w:hAnsiTheme="minorHAnsi" w:cstheme="minorHAnsi"/>
          <w:szCs w:val="22"/>
          <w:lang w:val="hr-HR"/>
        </w:rPr>
        <w:t>Željka Škaričić</w:t>
      </w:r>
    </w:p>
    <w:p w14:paraId="2CDC123B" w14:textId="103F0F19" w:rsidR="003B51B4" w:rsidRPr="001116C5" w:rsidRDefault="003B51B4" w:rsidP="00C96BE6">
      <w:pPr>
        <w:jc w:val="left"/>
        <w:rPr>
          <w:rFonts w:asciiTheme="minorHAnsi" w:hAnsiTheme="minorHAnsi" w:cstheme="minorHAnsi"/>
          <w:szCs w:val="22"/>
          <w:lang w:val="hr-HR"/>
        </w:rPr>
      </w:pPr>
    </w:p>
    <w:sectPr w:rsidR="003B51B4" w:rsidRPr="001116C5" w:rsidSect="002C2B26">
      <w:headerReference w:type="even" r:id="rId8"/>
      <w:headerReference w:type="default" r:id="rId9"/>
      <w:footerReference w:type="even" r:id="rId10"/>
      <w:footerReference w:type="default" r:id="rId11"/>
      <w:headerReference w:type="first" r:id="rId12"/>
      <w:footerReference w:type="first" r:id="rId13"/>
      <w:pgSz w:w="11913" w:h="16834" w:code="9"/>
      <w:pgMar w:top="0" w:right="1139" w:bottom="1134" w:left="1418" w:header="0" w:footer="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998E" w14:textId="77777777" w:rsidR="002C2B26" w:rsidRDefault="002C2B26">
      <w:r>
        <w:separator/>
      </w:r>
    </w:p>
  </w:endnote>
  <w:endnote w:type="continuationSeparator" w:id="0">
    <w:p w14:paraId="1354878B" w14:textId="77777777" w:rsidR="002C2B26" w:rsidRDefault="002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Humnst777 BT">
    <w:altName w:val="Lucida Sans Unicode"/>
    <w:charset w:val="00"/>
    <w:family w:val="swiss"/>
    <w:pitch w:val="variable"/>
    <w:sig w:usb0="00000007" w:usb1="00000000" w:usb2="00000000" w:usb3="00000000" w:csb0="00000011" w:csb1="00000000"/>
  </w:font>
  <w:font w:name="Calibri">
    <w:panose1 w:val="020F0502020204030204"/>
    <w:charset w:val="EE"/>
    <w:family w:val="swiss"/>
    <w:pitch w:val="variable"/>
    <w:sig w:usb0="E4002EFF" w:usb1="C200247B" w:usb2="00000009" w:usb3="00000000" w:csb0="000001FF" w:csb1="00000000"/>
  </w:font>
  <w:font w:name="Minion Pro">
    <w:altName w:val="Cambria"/>
    <w:charset w:val="00"/>
    <w:family w:val="roman"/>
    <w:pitch w:val="variable"/>
    <w:sig w:usb0="60000287" w:usb1="00000001" w:usb2="00000000" w:usb3="00000000" w:csb0="0000019F" w:csb1="00000000"/>
  </w:font>
  <w:font w:name="HRTimes">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F456" w14:textId="77777777" w:rsidR="00F666C9" w:rsidRDefault="00F66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A3A" w14:textId="77777777" w:rsidR="00FC0B06" w:rsidRDefault="00FC0B06">
    <w:pPr>
      <w:pStyle w:val="Footer"/>
      <w:rPr>
        <w:rFonts w:cs="Arial"/>
        <w:b/>
        <w:bCs/>
        <w:color w:val="000000"/>
        <w:spacing w:val="-7"/>
        <w:sz w:val="14"/>
        <w:szCs w:val="14"/>
        <w:lang w:val="pt-PT"/>
      </w:rPr>
    </w:pPr>
  </w:p>
  <w:p w14:paraId="764DB7CD" w14:textId="3AB0DA95" w:rsidR="00FB1EC7" w:rsidRDefault="00FB1EC7" w:rsidP="00FB1EC7">
    <w:pPr>
      <w:pStyle w:val="Footer"/>
      <w:ind w:left="-1418" w:right="-993"/>
    </w:pPr>
    <w:r>
      <w:rPr>
        <w:noProof/>
      </w:rPr>
      <w:drawing>
        <wp:inline distT="0" distB="0" distL="0" distR="0" wp14:anchorId="2DBE5734" wp14:editId="20DC2F71">
          <wp:extent cx="7550590" cy="1248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_eng.png"/>
                  <pic:cNvPicPr/>
                </pic:nvPicPr>
                <pic:blipFill>
                  <a:blip r:embed="rId1">
                    <a:extLst>
                      <a:ext uri="{28A0092B-C50C-407E-A947-70E740481C1C}">
                        <a14:useLocalDpi xmlns:a14="http://schemas.microsoft.com/office/drawing/2010/main" val="0"/>
                      </a:ext>
                    </a:extLst>
                  </a:blip>
                  <a:stretch>
                    <a:fillRect/>
                  </a:stretch>
                </pic:blipFill>
                <pic:spPr>
                  <a:xfrm>
                    <a:off x="0" y="0"/>
                    <a:ext cx="7722606" cy="12771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CD11" w14:textId="77777777" w:rsidR="00F666C9" w:rsidRDefault="00F6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F697" w14:textId="77777777" w:rsidR="002C2B26" w:rsidRDefault="002C2B26">
      <w:r>
        <w:separator/>
      </w:r>
    </w:p>
  </w:footnote>
  <w:footnote w:type="continuationSeparator" w:id="0">
    <w:p w14:paraId="7A0BBB91" w14:textId="77777777" w:rsidR="002C2B26" w:rsidRDefault="002C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C4A6" w14:textId="77777777" w:rsidR="00F666C9" w:rsidRDefault="00F66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D600" w14:textId="457FC20B" w:rsidR="006708AA" w:rsidRDefault="00FB1EC7" w:rsidP="00FB1EC7">
    <w:pPr>
      <w:pStyle w:val="Header"/>
      <w:ind w:left="-1418"/>
      <w:jc w:val="left"/>
    </w:pPr>
    <w:r>
      <w:rPr>
        <w:noProof/>
      </w:rPr>
      <w:drawing>
        <wp:inline distT="0" distB="0" distL="0" distR="0" wp14:anchorId="5144084C" wp14:editId="31DDC835">
          <wp:extent cx="7748175" cy="1767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_eng.png"/>
                  <pic:cNvPicPr/>
                </pic:nvPicPr>
                <pic:blipFill>
                  <a:blip r:embed="rId1">
                    <a:extLst>
                      <a:ext uri="{28A0092B-C50C-407E-A947-70E740481C1C}">
                        <a14:useLocalDpi xmlns:a14="http://schemas.microsoft.com/office/drawing/2010/main" val="0"/>
                      </a:ext>
                    </a:extLst>
                  </a:blip>
                  <a:stretch>
                    <a:fillRect/>
                  </a:stretch>
                </pic:blipFill>
                <pic:spPr>
                  <a:xfrm>
                    <a:off x="0" y="0"/>
                    <a:ext cx="7748175" cy="17677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5A94" w14:textId="77777777" w:rsidR="00F666C9" w:rsidRDefault="00F66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109F6E"/>
    <w:lvl w:ilvl="0">
      <w:numFmt w:val="decimal"/>
      <w:lvlText w:val="*"/>
      <w:lvlJc w:val="left"/>
    </w:lvl>
  </w:abstractNum>
  <w:abstractNum w:abstractNumId="1" w15:restartNumberingAfterBreak="0">
    <w:nsid w:val="021A4AAB"/>
    <w:multiLevelType w:val="hybridMultilevel"/>
    <w:tmpl w:val="2E2CA4A2"/>
    <w:lvl w:ilvl="0" w:tplc="D99A6FC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E2C8A"/>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27C4D"/>
    <w:multiLevelType w:val="hybridMultilevel"/>
    <w:tmpl w:val="25521602"/>
    <w:lvl w:ilvl="0" w:tplc="A61E6604">
      <w:start w:val="1"/>
      <w:numFmt w:val="bullet"/>
      <w:lvlText w:val="-"/>
      <w:lvlJc w:val="left"/>
      <w:pPr>
        <w:tabs>
          <w:tab w:val="num" w:pos="1080"/>
        </w:tabs>
        <w:ind w:left="1080" w:hanging="72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84AD4"/>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86A22"/>
    <w:multiLevelType w:val="hybridMultilevel"/>
    <w:tmpl w:val="FEC8FD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CC354D"/>
    <w:multiLevelType w:val="hybridMultilevel"/>
    <w:tmpl w:val="182C961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15:restartNumberingAfterBreak="0">
    <w:nsid w:val="1E8F7C18"/>
    <w:multiLevelType w:val="hybridMultilevel"/>
    <w:tmpl w:val="0D1C5282"/>
    <w:lvl w:ilvl="0" w:tplc="79E014E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4F20E29"/>
    <w:multiLevelType w:val="multilevel"/>
    <w:tmpl w:val="64D6EA56"/>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1B791E"/>
    <w:multiLevelType w:val="multilevel"/>
    <w:tmpl w:val="C3EAA2EA"/>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8917A3E"/>
    <w:multiLevelType w:val="hybridMultilevel"/>
    <w:tmpl w:val="6C544034"/>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D16437"/>
    <w:multiLevelType w:val="hybridMultilevel"/>
    <w:tmpl w:val="FE0A61A8"/>
    <w:lvl w:ilvl="0" w:tplc="D99A6FC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A78E4"/>
    <w:multiLevelType w:val="hybridMultilevel"/>
    <w:tmpl w:val="331E95B2"/>
    <w:lvl w:ilvl="0" w:tplc="0748A9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91634"/>
    <w:multiLevelType w:val="hybridMultilevel"/>
    <w:tmpl w:val="1FC42CDC"/>
    <w:lvl w:ilvl="0" w:tplc="0809000F">
      <w:start w:val="1"/>
      <w:numFmt w:val="decimal"/>
      <w:lvlText w:val="%1."/>
      <w:lvlJc w:val="left"/>
      <w:pPr>
        <w:ind w:left="885" w:hanging="360"/>
      </w:p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14" w15:restartNumberingAfterBreak="0">
    <w:nsid w:val="3235639B"/>
    <w:multiLevelType w:val="hybridMultilevel"/>
    <w:tmpl w:val="A9EA1A5E"/>
    <w:lvl w:ilvl="0" w:tplc="C2B63EC6">
      <w:start w:val="1"/>
      <w:numFmt w:val="bullet"/>
      <w:lvlText w:val="-"/>
      <w:lvlJc w:val="left"/>
      <w:pPr>
        <w:tabs>
          <w:tab w:val="num" w:pos="1080"/>
        </w:tabs>
        <w:ind w:left="1080" w:hanging="72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70766"/>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3040B"/>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E4FD8"/>
    <w:multiLevelType w:val="hybridMultilevel"/>
    <w:tmpl w:val="9EF6C890"/>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DA0318"/>
    <w:multiLevelType w:val="hybridMultilevel"/>
    <w:tmpl w:val="B478EA0C"/>
    <w:lvl w:ilvl="0" w:tplc="CC880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A2222"/>
    <w:multiLevelType w:val="hybridMultilevel"/>
    <w:tmpl w:val="470047EA"/>
    <w:lvl w:ilvl="0" w:tplc="86445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37E10"/>
    <w:multiLevelType w:val="hybridMultilevel"/>
    <w:tmpl w:val="3D52FA80"/>
    <w:lvl w:ilvl="0" w:tplc="9D6815C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D52D92"/>
    <w:multiLevelType w:val="multilevel"/>
    <w:tmpl w:val="E8082CAA"/>
    <w:lvl w:ilvl="0">
      <w:start w:val="3"/>
      <w:numFmt w:val="decimal"/>
      <w:lvlText w:val="%1."/>
      <w:lvlJc w:val="left"/>
      <w:pPr>
        <w:tabs>
          <w:tab w:val="num" w:pos="712"/>
        </w:tabs>
        <w:ind w:left="712"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22" w15:restartNumberingAfterBreak="0">
    <w:nsid w:val="47F84C07"/>
    <w:multiLevelType w:val="hybridMultilevel"/>
    <w:tmpl w:val="7C00A4B2"/>
    <w:lvl w:ilvl="0" w:tplc="A3A210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33D03"/>
    <w:multiLevelType w:val="hybridMultilevel"/>
    <w:tmpl w:val="BEDC80FE"/>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8715CA"/>
    <w:multiLevelType w:val="hybridMultilevel"/>
    <w:tmpl w:val="3718FA52"/>
    <w:lvl w:ilvl="0" w:tplc="51A6BC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306C3A"/>
    <w:multiLevelType w:val="multilevel"/>
    <w:tmpl w:val="872418AE"/>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6B33F0"/>
    <w:multiLevelType w:val="hybridMultilevel"/>
    <w:tmpl w:val="2F067FAA"/>
    <w:lvl w:ilvl="0" w:tplc="88000D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26785"/>
    <w:multiLevelType w:val="hybridMultilevel"/>
    <w:tmpl w:val="460EF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5A1AF3"/>
    <w:multiLevelType w:val="hybridMultilevel"/>
    <w:tmpl w:val="1E782F9E"/>
    <w:lvl w:ilvl="0" w:tplc="88000D5E">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B81841"/>
    <w:multiLevelType w:val="hybridMultilevel"/>
    <w:tmpl w:val="51E08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95431BD"/>
    <w:multiLevelType w:val="hybridMultilevel"/>
    <w:tmpl w:val="A0F21194"/>
    <w:lvl w:ilvl="0" w:tplc="12162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7A2B7A"/>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B4CCC"/>
    <w:multiLevelType w:val="singleLevel"/>
    <w:tmpl w:val="0C09000F"/>
    <w:lvl w:ilvl="0">
      <w:start w:val="1"/>
      <w:numFmt w:val="decimal"/>
      <w:lvlText w:val="%1."/>
      <w:lvlJc w:val="left"/>
      <w:pPr>
        <w:tabs>
          <w:tab w:val="num" w:pos="360"/>
        </w:tabs>
        <w:ind w:left="360" w:hanging="360"/>
      </w:pPr>
      <w:rPr>
        <w:rFonts w:hint="default"/>
      </w:rPr>
    </w:lvl>
  </w:abstractNum>
  <w:abstractNum w:abstractNumId="33" w15:restartNumberingAfterBreak="0">
    <w:nsid w:val="6050269D"/>
    <w:multiLevelType w:val="hybridMultilevel"/>
    <w:tmpl w:val="2318A15E"/>
    <w:lvl w:ilvl="0" w:tplc="65F4AA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A454B"/>
    <w:multiLevelType w:val="hybridMultilevel"/>
    <w:tmpl w:val="77C40946"/>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9F16AE"/>
    <w:multiLevelType w:val="hybridMultilevel"/>
    <w:tmpl w:val="1FC642DC"/>
    <w:lvl w:ilvl="0" w:tplc="11648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77932"/>
    <w:multiLevelType w:val="hybridMultilevel"/>
    <w:tmpl w:val="867E0CB0"/>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E074DC"/>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13AF5"/>
    <w:multiLevelType w:val="hybridMultilevel"/>
    <w:tmpl w:val="DC4E16CE"/>
    <w:lvl w:ilvl="0" w:tplc="70C6EA3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0582ABB"/>
    <w:multiLevelType w:val="hybridMultilevel"/>
    <w:tmpl w:val="F13C1D8C"/>
    <w:lvl w:ilvl="0" w:tplc="5630C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D63EC"/>
    <w:multiLevelType w:val="hybridMultilevel"/>
    <w:tmpl w:val="76AAE314"/>
    <w:lvl w:ilvl="0" w:tplc="E11C68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4EE1BAD"/>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03374"/>
    <w:multiLevelType w:val="hybridMultilevel"/>
    <w:tmpl w:val="4FD897C4"/>
    <w:lvl w:ilvl="0" w:tplc="D99A6FCA">
      <w:start w:val="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4D01B2"/>
    <w:multiLevelType w:val="hybridMultilevel"/>
    <w:tmpl w:val="60BED26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A0799A"/>
    <w:multiLevelType w:val="singleLevel"/>
    <w:tmpl w:val="9312C1A6"/>
    <w:lvl w:ilvl="0">
      <w:numFmt w:val="bullet"/>
      <w:lvlText w:val="-"/>
      <w:lvlJc w:val="left"/>
      <w:pPr>
        <w:tabs>
          <w:tab w:val="num" w:pos="360"/>
        </w:tabs>
        <w:ind w:left="360" w:hanging="360"/>
      </w:pPr>
      <w:rPr>
        <w:rFonts w:hint="default"/>
      </w:rPr>
    </w:lvl>
  </w:abstractNum>
  <w:abstractNum w:abstractNumId="45" w15:restartNumberingAfterBreak="0">
    <w:nsid w:val="7C662A1D"/>
    <w:multiLevelType w:val="hybridMultilevel"/>
    <w:tmpl w:val="932CAAA4"/>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E380129"/>
    <w:multiLevelType w:val="hybridMultilevel"/>
    <w:tmpl w:val="FEC8F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7E6661"/>
    <w:multiLevelType w:val="hybridMultilevel"/>
    <w:tmpl w:val="AE36D2AE"/>
    <w:lvl w:ilvl="0" w:tplc="466642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45877674">
    <w:abstractNumId w:val="38"/>
  </w:num>
  <w:num w:numId="2" w16cid:durableId="74011512">
    <w:abstractNumId w:val="24"/>
  </w:num>
  <w:num w:numId="3" w16cid:durableId="1300650458">
    <w:abstractNumId w:val="23"/>
  </w:num>
  <w:num w:numId="4" w16cid:durableId="1753047181">
    <w:abstractNumId w:val="7"/>
  </w:num>
  <w:num w:numId="5" w16cid:durableId="385447827">
    <w:abstractNumId w:val="20"/>
  </w:num>
  <w:num w:numId="6" w16cid:durableId="605620970">
    <w:abstractNumId w:val="21"/>
  </w:num>
  <w:num w:numId="7" w16cid:durableId="1594625901">
    <w:abstractNumId w:val="8"/>
  </w:num>
  <w:num w:numId="8" w16cid:durableId="1973513558">
    <w:abstractNumId w:val="14"/>
  </w:num>
  <w:num w:numId="9" w16cid:durableId="1218320181">
    <w:abstractNumId w:val="9"/>
  </w:num>
  <w:num w:numId="10" w16cid:durableId="214121829">
    <w:abstractNumId w:val="3"/>
  </w:num>
  <w:num w:numId="11" w16cid:durableId="98263536">
    <w:abstractNumId w:val="43"/>
  </w:num>
  <w:num w:numId="12" w16cid:durableId="179855462">
    <w:abstractNumId w:val="29"/>
  </w:num>
  <w:num w:numId="13" w16cid:durableId="1795519647">
    <w:abstractNumId w:val="34"/>
  </w:num>
  <w:num w:numId="14" w16cid:durableId="1106576388">
    <w:abstractNumId w:val="17"/>
  </w:num>
  <w:num w:numId="15" w16cid:durableId="1247497261">
    <w:abstractNumId w:val="40"/>
  </w:num>
  <w:num w:numId="16" w16cid:durableId="806624831">
    <w:abstractNumId w:val="27"/>
  </w:num>
  <w:num w:numId="17" w16cid:durableId="368720653">
    <w:abstractNumId w:val="45"/>
  </w:num>
  <w:num w:numId="18" w16cid:durableId="645429229">
    <w:abstractNumId w:val="10"/>
  </w:num>
  <w:num w:numId="19" w16cid:durableId="70473811">
    <w:abstractNumId w:val="25"/>
  </w:num>
  <w:num w:numId="20" w16cid:durableId="694041328">
    <w:abstractNumId w:val="47"/>
  </w:num>
  <w:num w:numId="21" w16cid:durableId="1322733052">
    <w:abstractNumId w:val="36"/>
  </w:num>
  <w:num w:numId="22" w16cid:durableId="955329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925074">
    <w:abstractNumId w:val="13"/>
  </w:num>
  <w:num w:numId="24" w16cid:durableId="1468816326">
    <w:abstractNumId w:val="1"/>
  </w:num>
  <w:num w:numId="25" w16cid:durableId="152806340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6" w16cid:durableId="514660805">
    <w:abstractNumId w:val="32"/>
  </w:num>
  <w:num w:numId="27" w16cid:durableId="1574855459">
    <w:abstractNumId w:val="44"/>
  </w:num>
  <w:num w:numId="28" w16cid:durableId="1887793101">
    <w:abstractNumId w:val="22"/>
  </w:num>
  <w:num w:numId="29" w16cid:durableId="1803233194">
    <w:abstractNumId w:val="26"/>
  </w:num>
  <w:num w:numId="30" w16cid:durableId="1576665121">
    <w:abstractNumId w:val="4"/>
  </w:num>
  <w:num w:numId="31" w16cid:durableId="266889221">
    <w:abstractNumId w:val="11"/>
  </w:num>
  <w:num w:numId="32" w16cid:durableId="1554393412">
    <w:abstractNumId w:val="42"/>
  </w:num>
  <w:num w:numId="33" w16cid:durableId="1143619956">
    <w:abstractNumId w:val="28"/>
  </w:num>
  <w:num w:numId="34" w16cid:durableId="1086733760">
    <w:abstractNumId w:val="19"/>
  </w:num>
  <w:num w:numId="35" w16cid:durableId="723018608">
    <w:abstractNumId w:val="30"/>
  </w:num>
  <w:num w:numId="36" w16cid:durableId="230625293">
    <w:abstractNumId w:val="39"/>
  </w:num>
  <w:num w:numId="37" w16cid:durableId="1672102589">
    <w:abstractNumId w:val="2"/>
  </w:num>
  <w:num w:numId="38" w16cid:durableId="213857081">
    <w:abstractNumId w:val="31"/>
  </w:num>
  <w:num w:numId="39" w16cid:durableId="1092705616">
    <w:abstractNumId w:val="37"/>
  </w:num>
  <w:num w:numId="40" w16cid:durableId="360479484">
    <w:abstractNumId w:val="33"/>
  </w:num>
  <w:num w:numId="41" w16cid:durableId="1577285166">
    <w:abstractNumId w:val="18"/>
  </w:num>
  <w:num w:numId="42" w16cid:durableId="613295775">
    <w:abstractNumId w:val="35"/>
  </w:num>
  <w:num w:numId="43" w16cid:durableId="1256088180">
    <w:abstractNumId w:val="6"/>
  </w:num>
  <w:num w:numId="44" w16cid:durableId="1439984194">
    <w:abstractNumId w:val="41"/>
  </w:num>
  <w:num w:numId="45" w16cid:durableId="1175344978">
    <w:abstractNumId w:val="12"/>
  </w:num>
  <w:num w:numId="46" w16cid:durableId="822164835">
    <w:abstractNumId w:val="15"/>
  </w:num>
  <w:num w:numId="47" w16cid:durableId="1078359829">
    <w:abstractNumId w:val="46"/>
  </w:num>
  <w:num w:numId="48" w16cid:durableId="868883659">
    <w:abstractNumId w:val="16"/>
  </w:num>
  <w:num w:numId="49" w16cid:durableId="578901585">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50" w16cid:durableId="2587599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hideGrammaticalErrors/>
  <w:activeWritingStyle w:appName="MSWord" w:lang="en-GB" w:vendorID="8" w:dllVersion="513" w:checkStyle="1"/>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D9"/>
    <w:rsid w:val="0000473A"/>
    <w:rsid w:val="000242E2"/>
    <w:rsid w:val="0003550F"/>
    <w:rsid w:val="000425BF"/>
    <w:rsid w:val="000A1471"/>
    <w:rsid w:val="000D5E25"/>
    <w:rsid w:val="000E13C6"/>
    <w:rsid w:val="000E3048"/>
    <w:rsid w:val="000F0C15"/>
    <w:rsid w:val="000F2080"/>
    <w:rsid w:val="00102FF8"/>
    <w:rsid w:val="001116C5"/>
    <w:rsid w:val="00146B52"/>
    <w:rsid w:val="0016233B"/>
    <w:rsid w:val="00195380"/>
    <w:rsid w:val="001B46A0"/>
    <w:rsid w:val="001E2415"/>
    <w:rsid w:val="001E62D3"/>
    <w:rsid w:val="001E70A1"/>
    <w:rsid w:val="00225A83"/>
    <w:rsid w:val="0022676E"/>
    <w:rsid w:val="002466F5"/>
    <w:rsid w:val="00297FFE"/>
    <w:rsid w:val="002B625F"/>
    <w:rsid w:val="002C2B26"/>
    <w:rsid w:val="002C65AD"/>
    <w:rsid w:val="002D2DAF"/>
    <w:rsid w:val="0034132E"/>
    <w:rsid w:val="003459D9"/>
    <w:rsid w:val="00347270"/>
    <w:rsid w:val="00354F5C"/>
    <w:rsid w:val="00372BDE"/>
    <w:rsid w:val="003875D1"/>
    <w:rsid w:val="00387FE1"/>
    <w:rsid w:val="003B51B4"/>
    <w:rsid w:val="003D19AD"/>
    <w:rsid w:val="003E5AC6"/>
    <w:rsid w:val="003E5B41"/>
    <w:rsid w:val="00443A74"/>
    <w:rsid w:val="004608B8"/>
    <w:rsid w:val="0047271B"/>
    <w:rsid w:val="00476399"/>
    <w:rsid w:val="00492832"/>
    <w:rsid w:val="00494045"/>
    <w:rsid w:val="004A0E30"/>
    <w:rsid w:val="004A24F2"/>
    <w:rsid w:val="004C5137"/>
    <w:rsid w:val="004C6BD1"/>
    <w:rsid w:val="00501E7E"/>
    <w:rsid w:val="00526FC0"/>
    <w:rsid w:val="00573476"/>
    <w:rsid w:val="00575765"/>
    <w:rsid w:val="00585661"/>
    <w:rsid w:val="005A301B"/>
    <w:rsid w:val="005A51D6"/>
    <w:rsid w:val="005C7B52"/>
    <w:rsid w:val="005E7490"/>
    <w:rsid w:val="00642829"/>
    <w:rsid w:val="006472BF"/>
    <w:rsid w:val="006505BE"/>
    <w:rsid w:val="006549F4"/>
    <w:rsid w:val="00666F47"/>
    <w:rsid w:val="006708AA"/>
    <w:rsid w:val="0068015B"/>
    <w:rsid w:val="006F7D8B"/>
    <w:rsid w:val="007026A9"/>
    <w:rsid w:val="007152A3"/>
    <w:rsid w:val="00716031"/>
    <w:rsid w:val="00721424"/>
    <w:rsid w:val="00721A24"/>
    <w:rsid w:val="00724B39"/>
    <w:rsid w:val="0077117D"/>
    <w:rsid w:val="0079181E"/>
    <w:rsid w:val="007A2B57"/>
    <w:rsid w:val="007A4AD9"/>
    <w:rsid w:val="007A6987"/>
    <w:rsid w:val="007B25FD"/>
    <w:rsid w:val="007B5CAA"/>
    <w:rsid w:val="007B6232"/>
    <w:rsid w:val="007C18DC"/>
    <w:rsid w:val="007D6B25"/>
    <w:rsid w:val="007E1946"/>
    <w:rsid w:val="007F2FCE"/>
    <w:rsid w:val="007F4FA6"/>
    <w:rsid w:val="008248DE"/>
    <w:rsid w:val="0083007D"/>
    <w:rsid w:val="00831A2D"/>
    <w:rsid w:val="008320AE"/>
    <w:rsid w:val="0086175F"/>
    <w:rsid w:val="00864CB8"/>
    <w:rsid w:val="00870A0E"/>
    <w:rsid w:val="00892BC4"/>
    <w:rsid w:val="008B29B8"/>
    <w:rsid w:val="008F6477"/>
    <w:rsid w:val="009040A4"/>
    <w:rsid w:val="00906D07"/>
    <w:rsid w:val="00917FD5"/>
    <w:rsid w:val="0093233C"/>
    <w:rsid w:val="00935931"/>
    <w:rsid w:val="00937500"/>
    <w:rsid w:val="009459DC"/>
    <w:rsid w:val="00987355"/>
    <w:rsid w:val="009E4F4E"/>
    <w:rsid w:val="009F7BB1"/>
    <w:rsid w:val="00A00EE8"/>
    <w:rsid w:val="00A04509"/>
    <w:rsid w:val="00A121D5"/>
    <w:rsid w:val="00A40CB6"/>
    <w:rsid w:val="00A90446"/>
    <w:rsid w:val="00A9727B"/>
    <w:rsid w:val="00AC306A"/>
    <w:rsid w:val="00AE0B7B"/>
    <w:rsid w:val="00AF0153"/>
    <w:rsid w:val="00B052D9"/>
    <w:rsid w:val="00B146CF"/>
    <w:rsid w:val="00B25B5B"/>
    <w:rsid w:val="00B358F9"/>
    <w:rsid w:val="00B3755D"/>
    <w:rsid w:val="00B40627"/>
    <w:rsid w:val="00B5355C"/>
    <w:rsid w:val="00B70B5A"/>
    <w:rsid w:val="00B80D70"/>
    <w:rsid w:val="00B81413"/>
    <w:rsid w:val="00B97AC3"/>
    <w:rsid w:val="00BB7B38"/>
    <w:rsid w:val="00BC00EF"/>
    <w:rsid w:val="00BC719C"/>
    <w:rsid w:val="00BE11D8"/>
    <w:rsid w:val="00BE4BF6"/>
    <w:rsid w:val="00C10231"/>
    <w:rsid w:val="00C4342D"/>
    <w:rsid w:val="00C96BE6"/>
    <w:rsid w:val="00CA4432"/>
    <w:rsid w:val="00CA45F2"/>
    <w:rsid w:val="00CB337C"/>
    <w:rsid w:val="00CD29B2"/>
    <w:rsid w:val="00D25910"/>
    <w:rsid w:val="00D32D65"/>
    <w:rsid w:val="00D37B3F"/>
    <w:rsid w:val="00D41D3F"/>
    <w:rsid w:val="00D63120"/>
    <w:rsid w:val="00D72D5E"/>
    <w:rsid w:val="00DA0848"/>
    <w:rsid w:val="00DA43B0"/>
    <w:rsid w:val="00DB1C37"/>
    <w:rsid w:val="00DB37BC"/>
    <w:rsid w:val="00DC279C"/>
    <w:rsid w:val="00DD5E68"/>
    <w:rsid w:val="00DF4140"/>
    <w:rsid w:val="00E3141A"/>
    <w:rsid w:val="00E35C67"/>
    <w:rsid w:val="00E63FD4"/>
    <w:rsid w:val="00E73A60"/>
    <w:rsid w:val="00E818F7"/>
    <w:rsid w:val="00EA0124"/>
    <w:rsid w:val="00EA35CC"/>
    <w:rsid w:val="00EA456E"/>
    <w:rsid w:val="00EA4634"/>
    <w:rsid w:val="00EC34B5"/>
    <w:rsid w:val="00ED2B59"/>
    <w:rsid w:val="00F022D7"/>
    <w:rsid w:val="00F0600E"/>
    <w:rsid w:val="00F06CA4"/>
    <w:rsid w:val="00F06EAE"/>
    <w:rsid w:val="00F13A25"/>
    <w:rsid w:val="00F14E57"/>
    <w:rsid w:val="00F153A6"/>
    <w:rsid w:val="00F164A8"/>
    <w:rsid w:val="00F313D4"/>
    <w:rsid w:val="00F40540"/>
    <w:rsid w:val="00F524AD"/>
    <w:rsid w:val="00F65B40"/>
    <w:rsid w:val="00F666C9"/>
    <w:rsid w:val="00F71F1D"/>
    <w:rsid w:val="00F72A67"/>
    <w:rsid w:val="00F747E2"/>
    <w:rsid w:val="00FB1EC7"/>
    <w:rsid w:val="00FB4BD3"/>
    <w:rsid w:val="00FC0B06"/>
    <w:rsid w:val="00FC23D6"/>
    <w:rsid w:val="00FC5936"/>
    <w:rsid w:val="00FC67E3"/>
    <w:rsid w:val="00FD0CBF"/>
    <w:rsid w:val="00FD66AF"/>
    <w:rsid w:val="00FE3886"/>
    <w:rsid w:val="00FE5A4D"/>
    <w:rsid w:val="00FE7856"/>
    <w:rsid w:val="00FF250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66F11"/>
  <w15:docId w15:val="{E8979ECB-F6DD-4361-AC64-A30C1BC1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6E"/>
    <w:pPr>
      <w:jc w:val="both"/>
    </w:pPr>
    <w:rPr>
      <w:rFonts w:ascii="Arial" w:hAnsi="Arial"/>
      <w:sz w:val="22"/>
      <w:lang w:val="en-GB"/>
    </w:rPr>
  </w:style>
  <w:style w:type="paragraph" w:styleId="Heading1">
    <w:name w:val="heading 1"/>
    <w:basedOn w:val="Normal"/>
    <w:next w:val="Normal"/>
    <w:qFormat/>
    <w:rsid w:val="00A00EE8"/>
    <w:pPr>
      <w:spacing w:before="120" w:after="120"/>
      <w:ind w:left="567" w:hanging="567"/>
      <w:jc w:val="left"/>
      <w:outlineLvl w:val="0"/>
    </w:pPr>
    <w:rPr>
      <w:b/>
      <w:sz w:val="28"/>
    </w:rPr>
  </w:style>
  <w:style w:type="paragraph" w:styleId="Heading2">
    <w:name w:val="heading 2"/>
    <w:basedOn w:val="Normal"/>
    <w:next w:val="Normal"/>
    <w:link w:val="Heading2Char"/>
    <w:qFormat/>
    <w:rsid w:val="00A00EE8"/>
    <w:pPr>
      <w:spacing w:before="120"/>
      <w:ind w:left="567" w:hanging="567"/>
      <w:jc w:val="left"/>
      <w:outlineLvl w:val="1"/>
    </w:pPr>
    <w:rPr>
      <w:b/>
      <w:sz w:val="26"/>
    </w:rPr>
  </w:style>
  <w:style w:type="paragraph" w:styleId="Heading3">
    <w:name w:val="heading 3"/>
    <w:basedOn w:val="Normal"/>
    <w:next w:val="Normal"/>
    <w:qFormat/>
    <w:rsid w:val="00A00EE8"/>
    <w:pPr>
      <w:spacing w:before="120"/>
      <w:ind w:left="1134" w:hanging="567"/>
      <w:jc w:val="left"/>
      <w:outlineLvl w:val="2"/>
    </w:pPr>
    <w:rPr>
      <w:b/>
      <w:u w:val="single"/>
    </w:rPr>
  </w:style>
  <w:style w:type="paragraph" w:styleId="Heading4">
    <w:name w:val="heading 4"/>
    <w:basedOn w:val="Normal"/>
    <w:next w:val="Normal"/>
    <w:link w:val="Heading4Char"/>
    <w:qFormat/>
    <w:rsid w:val="00C96BE6"/>
    <w:pPr>
      <w:keepNext/>
      <w:spacing w:line="360" w:lineRule="auto"/>
      <w:jc w:val="left"/>
      <w:outlineLvl w:val="3"/>
    </w:pPr>
    <w:rPr>
      <w:b/>
      <w:bCs/>
      <w:sz w:val="20"/>
      <w:lang w:val="hr-HR" w:eastAsia="en-US"/>
    </w:rPr>
  </w:style>
  <w:style w:type="paragraph" w:styleId="Heading5">
    <w:name w:val="heading 5"/>
    <w:basedOn w:val="Normal"/>
    <w:next w:val="Normal"/>
    <w:link w:val="Heading5Char"/>
    <w:qFormat/>
    <w:rsid w:val="00C96BE6"/>
    <w:pPr>
      <w:keepNext/>
      <w:jc w:val="center"/>
      <w:outlineLvl w:val="4"/>
    </w:pPr>
    <w:rPr>
      <w:rFonts w:cs="Arial"/>
      <w:b/>
      <w:bCs/>
      <w:i/>
      <w:iCs/>
      <w:sz w:val="18"/>
      <w:szCs w:val="18"/>
      <w:lang w:val="hr-HR" w:eastAsia="en-US"/>
    </w:rPr>
  </w:style>
  <w:style w:type="paragraph" w:styleId="Heading6">
    <w:name w:val="heading 6"/>
    <w:basedOn w:val="Normal"/>
    <w:next w:val="Normal"/>
    <w:link w:val="Heading6Char"/>
    <w:qFormat/>
    <w:rsid w:val="00C96BE6"/>
    <w:pPr>
      <w:keepNext/>
      <w:spacing w:line="360" w:lineRule="auto"/>
      <w:jc w:val="left"/>
      <w:outlineLvl w:val="5"/>
    </w:pPr>
    <w:rPr>
      <w:rFonts w:cs="Arial"/>
      <w:sz w:val="20"/>
      <w:u w:val="single"/>
      <w:lang w:val="hr-HR" w:eastAsia="en-US"/>
    </w:rPr>
  </w:style>
  <w:style w:type="paragraph" w:styleId="Heading7">
    <w:name w:val="heading 7"/>
    <w:basedOn w:val="Normal"/>
    <w:next w:val="Normal"/>
    <w:link w:val="Heading7Char"/>
    <w:qFormat/>
    <w:rsid w:val="00C96BE6"/>
    <w:pPr>
      <w:keepNext/>
      <w:spacing w:line="360" w:lineRule="auto"/>
      <w:outlineLvl w:val="6"/>
    </w:pPr>
    <w:rPr>
      <w:rFonts w:cs="Arial"/>
      <w:sz w:val="20"/>
      <w:u w:val="single"/>
      <w:lang w:val="hr-HR" w:eastAsia="en-US"/>
    </w:rPr>
  </w:style>
  <w:style w:type="paragraph" w:styleId="Heading8">
    <w:name w:val="heading 8"/>
    <w:basedOn w:val="Normal"/>
    <w:next w:val="Normal"/>
    <w:link w:val="Heading8Char"/>
    <w:qFormat/>
    <w:rsid w:val="00C96BE6"/>
    <w:pPr>
      <w:keepNext/>
      <w:spacing w:line="360" w:lineRule="auto"/>
      <w:ind w:left="360"/>
      <w:jc w:val="left"/>
      <w:outlineLvl w:val="7"/>
    </w:pPr>
    <w:rPr>
      <w:rFonts w:cs="Arial"/>
      <w:b/>
      <w:bCs/>
      <w:sz w:val="20"/>
      <w:lang w:val="hr-HR" w:eastAsia="en-US"/>
    </w:rPr>
  </w:style>
  <w:style w:type="paragraph" w:styleId="Heading9">
    <w:name w:val="heading 9"/>
    <w:basedOn w:val="Normal"/>
    <w:next w:val="Normal"/>
    <w:link w:val="Heading9Char"/>
    <w:qFormat/>
    <w:rsid w:val="00C96BE6"/>
    <w:pPr>
      <w:keepNext/>
      <w:ind w:right="418"/>
      <w:jc w:val="left"/>
      <w:outlineLvl w:val="8"/>
    </w:pPr>
    <w:rPr>
      <w:rFonts w:cs="Arial"/>
      <w:b/>
      <w:bCs/>
      <w:sz w:val="16"/>
      <w:szCs w:val="16"/>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EE8"/>
    <w:pPr>
      <w:tabs>
        <w:tab w:val="center" w:pos="4153"/>
        <w:tab w:val="right" w:pos="8306"/>
      </w:tabs>
    </w:pPr>
  </w:style>
  <w:style w:type="paragraph" w:styleId="NormalIndent">
    <w:name w:val="Normal Indent"/>
    <w:basedOn w:val="Normal"/>
    <w:semiHidden/>
    <w:rsid w:val="00A00EE8"/>
    <w:pPr>
      <w:ind w:left="720"/>
    </w:pPr>
  </w:style>
  <w:style w:type="paragraph" w:styleId="Footer">
    <w:name w:val="footer"/>
    <w:basedOn w:val="Normal"/>
    <w:rsid w:val="00A00EE8"/>
    <w:pPr>
      <w:tabs>
        <w:tab w:val="center" w:pos="4153"/>
        <w:tab w:val="right" w:pos="8306"/>
      </w:tabs>
    </w:pPr>
  </w:style>
  <w:style w:type="paragraph" w:customStyle="1" w:styleId="Subject">
    <w:name w:val="Subject"/>
    <w:basedOn w:val="Normal"/>
    <w:next w:val="Normal"/>
    <w:rsid w:val="00A00EE8"/>
    <w:pPr>
      <w:tabs>
        <w:tab w:val="left" w:pos="1560"/>
      </w:tabs>
      <w:ind w:left="1560" w:hanging="993"/>
    </w:pPr>
  </w:style>
  <w:style w:type="paragraph" w:customStyle="1" w:styleId="Nabraj">
    <w:name w:val="Nabraj"/>
    <w:basedOn w:val="Normal"/>
    <w:rsid w:val="00A00EE8"/>
    <w:pPr>
      <w:spacing w:before="120"/>
    </w:pPr>
  </w:style>
  <w:style w:type="character" w:styleId="Hyperlink">
    <w:name w:val="Hyperlink"/>
    <w:basedOn w:val="DefaultParagraphFont"/>
    <w:uiPriority w:val="99"/>
    <w:unhideWhenUsed/>
    <w:rsid w:val="00EA456E"/>
    <w:rPr>
      <w:color w:val="0000FF"/>
      <w:u w:val="single"/>
    </w:rPr>
  </w:style>
  <w:style w:type="paragraph" w:styleId="BalloonText">
    <w:name w:val="Balloon Text"/>
    <w:basedOn w:val="Normal"/>
    <w:link w:val="BalloonTextChar"/>
    <w:semiHidden/>
    <w:unhideWhenUsed/>
    <w:rsid w:val="00EA456E"/>
    <w:rPr>
      <w:rFonts w:ascii="Tahoma" w:hAnsi="Tahoma" w:cs="Tahoma"/>
      <w:sz w:val="16"/>
      <w:szCs w:val="16"/>
    </w:rPr>
  </w:style>
  <w:style w:type="character" w:customStyle="1" w:styleId="BalloonTextChar">
    <w:name w:val="Balloon Text Char"/>
    <w:basedOn w:val="DefaultParagraphFont"/>
    <w:link w:val="BalloonText"/>
    <w:uiPriority w:val="99"/>
    <w:semiHidden/>
    <w:rsid w:val="00EA456E"/>
    <w:rPr>
      <w:rFonts w:ascii="Tahoma" w:hAnsi="Tahoma" w:cs="Tahoma"/>
      <w:sz w:val="16"/>
      <w:szCs w:val="16"/>
      <w:lang w:val="en-GB"/>
    </w:rPr>
  </w:style>
  <w:style w:type="character" w:customStyle="1" w:styleId="HeaderChar">
    <w:name w:val="Header Char"/>
    <w:basedOn w:val="DefaultParagraphFont"/>
    <w:link w:val="Header"/>
    <w:semiHidden/>
    <w:rsid w:val="00EA456E"/>
    <w:rPr>
      <w:rFonts w:ascii="Arial" w:hAnsi="Arial"/>
      <w:sz w:val="22"/>
      <w:lang w:val="en-GB"/>
    </w:rPr>
  </w:style>
  <w:style w:type="paragraph" w:styleId="BodyTextIndent">
    <w:name w:val="Body Text Indent"/>
    <w:basedOn w:val="Normal"/>
    <w:link w:val="BodyTextIndentChar"/>
    <w:rsid w:val="00EA456E"/>
    <w:pPr>
      <w:ind w:left="5529"/>
      <w:jc w:val="left"/>
    </w:pPr>
    <w:rPr>
      <w:rFonts w:ascii="Times New Roman" w:hAnsi="Times New Roman"/>
      <w:b/>
      <w:color w:val="000000"/>
      <w:spacing w:val="-7"/>
      <w:sz w:val="16"/>
      <w:lang w:val="en-US"/>
    </w:rPr>
  </w:style>
  <w:style w:type="character" w:customStyle="1" w:styleId="BodyTextIndentChar">
    <w:name w:val="Body Text Indent Char"/>
    <w:basedOn w:val="DefaultParagraphFont"/>
    <w:link w:val="BodyTextIndent"/>
    <w:semiHidden/>
    <w:rsid w:val="00EA456E"/>
    <w:rPr>
      <w:b/>
      <w:color w:val="000000"/>
      <w:spacing w:val="-7"/>
      <w:sz w:val="16"/>
      <w:lang w:val="en-US"/>
    </w:rPr>
  </w:style>
  <w:style w:type="paragraph" w:styleId="Caption">
    <w:name w:val="caption"/>
    <w:basedOn w:val="Normal"/>
    <w:next w:val="Normal"/>
    <w:qFormat/>
    <w:rsid w:val="00EA456E"/>
    <w:pPr>
      <w:ind w:left="5160"/>
      <w:jc w:val="left"/>
    </w:pPr>
    <w:rPr>
      <w:rFonts w:ascii="Times New Roman" w:hAnsi="Times New Roman"/>
      <w:b/>
      <w:color w:val="000000"/>
      <w:spacing w:val="-7"/>
      <w:sz w:val="16"/>
      <w:lang w:val="en-US"/>
    </w:rPr>
  </w:style>
  <w:style w:type="character" w:customStyle="1" w:styleId="hps">
    <w:name w:val="hps"/>
    <w:basedOn w:val="DefaultParagraphFont"/>
    <w:rsid w:val="0068015B"/>
  </w:style>
  <w:style w:type="paragraph" w:customStyle="1" w:styleId="normaltableau">
    <w:name w:val="normal_tableau"/>
    <w:basedOn w:val="Normal"/>
    <w:uiPriority w:val="99"/>
    <w:rsid w:val="00A90446"/>
    <w:pPr>
      <w:spacing w:before="120" w:after="120"/>
    </w:pPr>
    <w:rPr>
      <w:rFonts w:ascii="Optima" w:hAnsi="Optima"/>
      <w:lang w:eastAsia="en-GB"/>
    </w:rPr>
  </w:style>
  <w:style w:type="paragraph" w:styleId="ListParagraph">
    <w:name w:val="List Paragraph"/>
    <w:basedOn w:val="Normal"/>
    <w:uiPriority w:val="34"/>
    <w:qFormat/>
    <w:rsid w:val="00F72A67"/>
    <w:pPr>
      <w:autoSpaceDE w:val="0"/>
      <w:autoSpaceDN w:val="0"/>
      <w:ind w:left="720"/>
      <w:contextualSpacing/>
    </w:pPr>
    <w:rPr>
      <w:rFonts w:ascii="Humnst777 BT" w:hAnsi="Humnst777 BT" w:cs="Humnst777 BT"/>
      <w:sz w:val="24"/>
      <w:szCs w:val="24"/>
      <w:lang w:eastAsia="en-US"/>
    </w:rPr>
  </w:style>
  <w:style w:type="paragraph" w:customStyle="1" w:styleId="Default">
    <w:name w:val="Default"/>
    <w:rsid w:val="007D6B25"/>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67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08AA"/>
    <w:rPr>
      <w:color w:val="605E5C"/>
      <w:shd w:val="clear" w:color="auto" w:fill="E1DFDD"/>
    </w:rPr>
  </w:style>
  <w:style w:type="paragraph" w:customStyle="1" w:styleId="BasicParagraph">
    <w:name w:val="[Basic Paragraph]"/>
    <w:basedOn w:val="Normal"/>
    <w:uiPriority w:val="99"/>
    <w:rsid w:val="003B51B4"/>
    <w:pPr>
      <w:autoSpaceDE w:val="0"/>
      <w:autoSpaceDN w:val="0"/>
      <w:adjustRightInd w:val="0"/>
      <w:spacing w:line="288" w:lineRule="auto"/>
      <w:jc w:val="left"/>
      <w:textAlignment w:val="center"/>
    </w:pPr>
    <w:rPr>
      <w:rFonts w:ascii="Minion Pro" w:hAnsi="Minion Pro" w:cs="Minion Pro"/>
      <w:color w:val="000000"/>
      <w:sz w:val="24"/>
      <w:szCs w:val="24"/>
      <w:lang w:val="en-US"/>
    </w:rPr>
  </w:style>
  <w:style w:type="paragraph" w:customStyle="1" w:styleId="tb-na16">
    <w:name w:val="tb-na16"/>
    <w:basedOn w:val="Normal"/>
    <w:rsid w:val="000E3048"/>
    <w:pPr>
      <w:spacing w:before="100" w:beforeAutospacing="1" w:after="100" w:afterAutospacing="1"/>
      <w:jc w:val="left"/>
    </w:pPr>
    <w:rPr>
      <w:rFonts w:ascii="Times New Roman" w:hAnsi="Times New Roman"/>
      <w:sz w:val="24"/>
      <w:szCs w:val="24"/>
      <w:lang w:val="hr-HR"/>
    </w:rPr>
  </w:style>
  <w:style w:type="character" w:customStyle="1" w:styleId="st">
    <w:name w:val="st"/>
    <w:basedOn w:val="DefaultParagraphFont"/>
    <w:rsid w:val="000E3048"/>
  </w:style>
  <w:style w:type="character" w:customStyle="1" w:styleId="Heading2Char">
    <w:name w:val="Heading 2 Char"/>
    <w:link w:val="Heading2"/>
    <w:uiPriority w:val="9"/>
    <w:rsid w:val="00AC306A"/>
    <w:rPr>
      <w:rFonts w:ascii="Arial" w:hAnsi="Arial"/>
      <w:b/>
      <w:sz w:val="26"/>
      <w:lang w:val="en-GB"/>
    </w:rPr>
  </w:style>
  <w:style w:type="paragraph" w:styleId="BodyText2">
    <w:name w:val="Body Text 2"/>
    <w:basedOn w:val="Normal"/>
    <w:link w:val="BodyText2Char"/>
    <w:unhideWhenUsed/>
    <w:rsid w:val="00C96BE6"/>
    <w:pPr>
      <w:spacing w:after="120" w:line="480" w:lineRule="auto"/>
    </w:pPr>
  </w:style>
  <w:style w:type="character" w:customStyle="1" w:styleId="BodyText2Char">
    <w:name w:val="Body Text 2 Char"/>
    <w:basedOn w:val="DefaultParagraphFont"/>
    <w:link w:val="BodyText2"/>
    <w:uiPriority w:val="99"/>
    <w:semiHidden/>
    <w:rsid w:val="00C96BE6"/>
    <w:rPr>
      <w:rFonts w:ascii="Arial" w:hAnsi="Arial"/>
      <w:sz w:val="22"/>
      <w:lang w:val="en-GB"/>
    </w:rPr>
  </w:style>
  <w:style w:type="paragraph" w:styleId="BodyText3">
    <w:name w:val="Body Text 3"/>
    <w:basedOn w:val="Normal"/>
    <w:link w:val="BodyText3Char"/>
    <w:unhideWhenUsed/>
    <w:rsid w:val="00C96BE6"/>
    <w:pPr>
      <w:spacing w:after="120"/>
    </w:pPr>
    <w:rPr>
      <w:sz w:val="16"/>
      <w:szCs w:val="16"/>
    </w:rPr>
  </w:style>
  <w:style w:type="character" w:customStyle="1" w:styleId="BodyText3Char">
    <w:name w:val="Body Text 3 Char"/>
    <w:basedOn w:val="DefaultParagraphFont"/>
    <w:link w:val="BodyText3"/>
    <w:rsid w:val="00C96BE6"/>
    <w:rPr>
      <w:rFonts w:ascii="Arial" w:hAnsi="Arial"/>
      <w:sz w:val="16"/>
      <w:szCs w:val="16"/>
      <w:lang w:val="en-GB"/>
    </w:rPr>
  </w:style>
  <w:style w:type="character" w:customStyle="1" w:styleId="Heading4Char">
    <w:name w:val="Heading 4 Char"/>
    <w:basedOn w:val="DefaultParagraphFont"/>
    <w:link w:val="Heading4"/>
    <w:rsid w:val="00C96BE6"/>
    <w:rPr>
      <w:rFonts w:ascii="Arial" w:hAnsi="Arial"/>
      <w:b/>
      <w:bCs/>
      <w:lang w:eastAsia="en-US"/>
    </w:rPr>
  </w:style>
  <w:style w:type="character" w:customStyle="1" w:styleId="Heading5Char">
    <w:name w:val="Heading 5 Char"/>
    <w:basedOn w:val="DefaultParagraphFont"/>
    <w:link w:val="Heading5"/>
    <w:rsid w:val="00C96BE6"/>
    <w:rPr>
      <w:rFonts w:ascii="Arial" w:hAnsi="Arial" w:cs="Arial"/>
      <w:b/>
      <w:bCs/>
      <w:i/>
      <w:iCs/>
      <w:sz w:val="18"/>
      <w:szCs w:val="18"/>
      <w:lang w:eastAsia="en-US"/>
    </w:rPr>
  </w:style>
  <w:style w:type="character" w:customStyle="1" w:styleId="Heading6Char">
    <w:name w:val="Heading 6 Char"/>
    <w:basedOn w:val="DefaultParagraphFont"/>
    <w:link w:val="Heading6"/>
    <w:rsid w:val="00C96BE6"/>
    <w:rPr>
      <w:rFonts w:ascii="Arial" w:hAnsi="Arial" w:cs="Arial"/>
      <w:u w:val="single"/>
      <w:lang w:eastAsia="en-US"/>
    </w:rPr>
  </w:style>
  <w:style w:type="character" w:customStyle="1" w:styleId="Heading7Char">
    <w:name w:val="Heading 7 Char"/>
    <w:basedOn w:val="DefaultParagraphFont"/>
    <w:link w:val="Heading7"/>
    <w:rsid w:val="00C96BE6"/>
    <w:rPr>
      <w:rFonts w:ascii="Arial" w:hAnsi="Arial" w:cs="Arial"/>
      <w:u w:val="single"/>
      <w:lang w:eastAsia="en-US"/>
    </w:rPr>
  </w:style>
  <w:style w:type="character" w:customStyle="1" w:styleId="Heading8Char">
    <w:name w:val="Heading 8 Char"/>
    <w:basedOn w:val="DefaultParagraphFont"/>
    <w:link w:val="Heading8"/>
    <w:rsid w:val="00C96BE6"/>
    <w:rPr>
      <w:rFonts w:ascii="Arial" w:hAnsi="Arial" w:cs="Arial"/>
      <w:b/>
      <w:bCs/>
      <w:lang w:eastAsia="en-US"/>
    </w:rPr>
  </w:style>
  <w:style w:type="character" w:customStyle="1" w:styleId="Heading9Char">
    <w:name w:val="Heading 9 Char"/>
    <w:basedOn w:val="DefaultParagraphFont"/>
    <w:link w:val="Heading9"/>
    <w:rsid w:val="00C96BE6"/>
    <w:rPr>
      <w:rFonts w:ascii="Arial" w:hAnsi="Arial" w:cs="Arial"/>
      <w:b/>
      <w:bCs/>
      <w:sz w:val="16"/>
      <w:szCs w:val="16"/>
      <w:lang w:val="de-DE" w:eastAsia="en-US"/>
    </w:rPr>
  </w:style>
  <w:style w:type="paragraph" w:styleId="BodyText">
    <w:name w:val="Body Text"/>
    <w:aliases w:val="Body Text1, uvlaka 3,  uvlaka 2"/>
    <w:basedOn w:val="Normal"/>
    <w:link w:val="BodyTextChar"/>
    <w:rsid w:val="00C96BE6"/>
    <w:rPr>
      <w:rFonts w:ascii="Times New Roman" w:hAnsi="Times New Roman"/>
      <w:sz w:val="24"/>
      <w:lang w:val="x-none" w:eastAsia="en-US"/>
    </w:rPr>
  </w:style>
  <w:style w:type="character" w:customStyle="1" w:styleId="BodyTextChar">
    <w:name w:val="Body Text Char"/>
    <w:aliases w:val="Body Text1 Char, uvlaka 3 Char,  uvlaka 2 Char"/>
    <w:basedOn w:val="DefaultParagraphFont"/>
    <w:link w:val="BodyText"/>
    <w:rsid w:val="00C96BE6"/>
    <w:rPr>
      <w:sz w:val="24"/>
      <w:lang w:val="x-none" w:eastAsia="en-US"/>
    </w:rPr>
  </w:style>
  <w:style w:type="character" w:styleId="PageNumber">
    <w:name w:val="page number"/>
    <w:basedOn w:val="DefaultParagraphFont"/>
    <w:uiPriority w:val="99"/>
    <w:rsid w:val="00C96BE6"/>
  </w:style>
  <w:style w:type="paragraph" w:customStyle="1" w:styleId="Disclaimer">
    <w:name w:val="Disclaimer"/>
    <w:basedOn w:val="Normal"/>
    <w:rsid w:val="00C96BE6"/>
    <w:pPr>
      <w:spacing w:line="200" w:lineRule="exact"/>
      <w:jc w:val="left"/>
    </w:pPr>
    <w:rPr>
      <w:rFonts w:ascii="Times New Roman" w:hAnsi="Times New Roman"/>
      <w:sz w:val="16"/>
      <w:lang w:eastAsia="en-US"/>
    </w:rPr>
  </w:style>
  <w:style w:type="paragraph" w:customStyle="1" w:styleId="xl24">
    <w:name w:val="xl24"/>
    <w:basedOn w:val="Normal"/>
    <w:rsid w:val="00C96BE6"/>
    <w:pPr>
      <w:spacing w:before="100" w:beforeAutospacing="1" w:after="100" w:afterAutospacing="1"/>
      <w:jc w:val="left"/>
    </w:pPr>
    <w:rPr>
      <w:rFonts w:cs="Arial"/>
      <w:sz w:val="16"/>
      <w:szCs w:val="16"/>
      <w:lang w:val="hr-HR"/>
    </w:rPr>
  </w:style>
  <w:style w:type="paragraph" w:customStyle="1" w:styleId="xl25">
    <w:name w:val="xl25"/>
    <w:basedOn w:val="Normal"/>
    <w:rsid w:val="00C96BE6"/>
    <w:pPr>
      <w:spacing w:before="100" w:beforeAutospacing="1" w:after="100" w:afterAutospacing="1"/>
      <w:jc w:val="left"/>
    </w:pPr>
    <w:rPr>
      <w:rFonts w:cs="Arial"/>
      <w:sz w:val="16"/>
      <w:szCs w:val="16"/>
      <w:lang w:val="hr-HR"/>
    </w:rPr>
  </w:style>
  <w:style w:type="paragraph" w:customStyle="1" w:styleId="xl26">
    <w:name w:val="xl26"/>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hr-HR"/>
    </w:rPr>
  </w:style>
  <w:style w:type="paragraph" w:customStyle="1" w:styleId="xl27">
    <w:name w:val="xl27"/>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6"/>
      <w:szCs w:val="16"/>
      <w:lang w:val="hr-HR"/>
    </w:rPr>
  </w:style>
  <w:style w:type="paragraph" w:customStyle="1" w:styleId="xl28">
    <w:name w:val="xl28"/>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hr-HR"/>
    </w:rPr>
  </w:style>
  <w:style w:type="paragraph" w:customStyle="1" w:styleId="xl29">
    <w:name w:val="xl29"/>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6"/>
      <w:szCs w:val="16"/>
      <w:lang w:val="hr-HR"/>
    </w:rPr>
  </w:style>
  <w:style w:type="paragraph" w:customStyle="1" w:styleId="xl30">
    <w:name w:val="xl30"/>
    <w:basedOn w:val="Normal"/>
    <w:rsid w:val="00C96BE6"/>
    <w:pPr>
      <w:spacing w:before="100" w:beforeAutospacing="1" w:after="100" w:afterAutospacing="1"/>
      <w:jc w:val="left"/>
    </w:pPr>
    <w:rPr>
      <w:rFonts w:cs="Arial"/>
      <w:b/>
      <w:bCs/>
      <w:sz w:val="16"/>
      <w:szCs w:val="16"/>
      <w:lang w:val="hr-HR"/>
    </w:rPr>
  </w:style>
  <w:style w:type="paragraph" w:customStyle="1" w:styleId="xl31">
    <w:name w:val="xl31"/>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val="hr-HR"/>
    </w:rPr>
  </w:style>
  <w:style w:type="paragraph" w:customStyle="1" w:styleId="ContentsPage">
    <w:name w:val="Contents Page"/>
    <w:basedOn w:val="Normal"/>
    <w:next w:val="Normal"/>
    <w:rsid w:val="00C96BE6"/>
    <w:pPr>
      <w:keepNext/>
      <w:spacing w:before="60" w:after="60"/>
      <w:jc w:val="right"/>
    </w:pPr>
    <w:rPr>
      <w:b/>
      <w:sz w:val="20"/>
      <w:lang w:val="hr-HR" w:eastAsia="en-US"/>
    </w:rPr>
  </w:style>
  <w:style w:type="paragraph" w:styleId="TOC2">
    <w:name w:val="toc 2"/>
    <w:basedOn w:val="TOC1"/>
    <w:next w:val="Normal"/>
    <w:autoRedefine/>
    <w:semiHidden/>
    <w:rsid w:val="00C96BE6"/>
    <w:pPr>
      <w:jc w:val="right"/>
    </w:pPr>
    <w:rPr>
      <w:rFonts w:ascii="Arial" w:hAnsi="Arial" w:cs="Arial"/>
      <w:b/>
      <w:sz w:val="20"/>
    </w:rPr>
  </w:style>
  <w:style w:type="paragraph" w:styleId="TOC1">
    <w:name w:val="toc 1"/>
    <w:basedOn w:val="Normal"/>
    <w:next w:val="Normal"/>
    <w:autoRedefine/>
    <w:semiHidden/>
    <w:rsid w:val="00C96BE6"/>
    <w:pPr>
      <w:jc w:val="left"/>
    </w:pPr>
    <w:rPr>
      <w:rFonts w:ascii="Times New Roman" w:hAnsi="Times New Roman"/>
      <w:sz w:val="24"/>
      <w:lang w:val="hr-HR" w:eastAsia="en-US"/>
    </w:rPr>
  </w:style>
  <w:style w:type="paragraph" w:customStyle="1" w:styleId="xl32">
    <w:name w:val="xl32"/>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6"/>
      <w:szCs w:val="16"/>
      <w:lang w:val="hr-HR"/>
    </w:rPr>
  </w:style>
  <w:style w:type="paragraph" w:customStyle="1" w:styleId="xl33">
    <w:name w:val="xl33"/>
    <w:basedOn w:val="Normal"/>
    <w:rsid w:val="00C96BE6"/>
    <w:pPr>
      <w:spacing w:before="100" w:beforeAutospacing="1" w:after="100" w:afterAutospacing="1"/>
      <w:jc w:val="left"/>
    </w:pPr>
    <w:rPr>
      <w:rFonts w:cs="Arial"/>
      <w:b/>
      <w:bCs/>
      <w:sz w:val="16"/>
      <w:szCs w:val="16"/>
      <w:lang w:val="hr-HR"/>
    </w:rPr>
  </w:style>
  <w:style w:type="paragraph" w:customStyle="1" w:styleId="xl34">
    <w:name w:val="xl34"/>
    <w:basedOn w:val="Normal"/>
    <w:rsid w:val="00C96B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16"/>
      <w:szCs w:val="16"/>
      <w:lang w:val="hr-HR"/>
    </w:rPr>
  </w:style>
  <w:style w:type="paragraph" w:customStyle="1" w:styleId="T1">
    <w:name w:val="T1"/>
    <w:basedOn w:val="Heading1"/>
    <w:link w:val="T1Char"/>
    <w:rsid w:val="00C96BE6"/>
    <w:pPr>
      <w:keepNext/>
      <w:spacing w:before="0" w:after="301" w:line="301" w:lineRule="atLeast"/>
      <w:ind w:left="0" w:firstLine="0"/>
      <w:outlineLvl w:val="9"/>
    </w:pPr>
    <w:rPr>
      <w:b w:val="0"/>
      <w:sz w:val="19"/>
      <w:lang w:eastAsia="en-US"/>
    </w:rPr>
  </w:style>
  <w:style w:type="character" w:customStyle="1" w:styleId="T1Char">
    <w:name w:val="T1 Char"/>
    <w:link w:val="T1"/>
    <w:rsid w:val="00C96BE6"/>
    <w:rPr>
      <w:rFonts w:ascii="Arial" w:hAnsi="Arial"/>
      <w:sz w:val="19"/>
      <w:lang w:val="en-GB" w:eastAsia="en-US"/>
    </w:rPr>
  </w:style>
  <w:style w:type="paragraph" w:customStyle="1" w:styleId="Outline">
    <w:name w:val="Outline"/>
    <w:basedOn w:val="Normal"/>
    <w:rsid w:val="00C96BE6"/>
    <w:pPr>
      <w:tabs>
        <w:tab w:val="num" w:pos="0"/>
      </w:tabs>
      <w:jc w:val="left"/>
    </w:pPr>
    <w:rPr>
      <w:rFonts w:ascii="Times New Roman" w:hAnsi="Times New Roman"/>
      <w:sz w:val="20"/>
      <w:lang w:val="hr-HR" w:eastAsia="en-US"/>
    </w:rPr>
  </w:style>
  <w:style w:type="paragraph" w:customStyle="1" w:styleId="Name">
    <w:name w:val="Name"/>
    <w:rsid w:val="00C96BE6"/>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val="en-GB" w:eastAsia="en-US"/>
    </w:rPr>
  </w:style>
  <w:style w:type="paragraph" w:customStyle="1" w:styleId="Style1">
    <w:name w:val="Style1"/>
    <w:basedOn w:val="Normal"/>
    <w:rsid w:val="00C96BE6"/>
    <w:rPr>
      <w:rFonts w:ascii="Times New Roman" w:hAnsi="Times New Roman"/>
      <w:sz w:val="24"/>
      <w:lang w:val="hr-HR" w:eastAsia="en-US"/>
    </w:rPr>
  </w:style>
  <w:style w:type="paragraph" w:styleId="CommentText">
    <w:name w:val="annotation text"/>
    <w:basedOn w:val="Normal"/>
    <w:link w:val="CommentTextChar"/>
    <w:semiHidden/>
    <w:rsid w:val="00C96BE6"/>
    <w:pPr>
      <w:widowControl w:val="0"/>
      <w:jc w:val="left"/>
    </w:pPr>
    <w:rPr>
      <w:rFonts w:ascii="HRTimes" w:hAnsi="HRTimes"/>
      <w:sz w:val="20"/>
      <w:lang w:val="hr-HR" w:eastAsia="en-US"/>
    </w:rPr>
  </w:style>
  <w:style w:type="character" w:customStyle="1" w:styleId="CommentTextChar">
    <w:name w:val="Comment Text Char"/>
    <w:basedOn w:val="DefaultParagraphFont"/>
    <w:link w:val="CommentText"/>
    <w:semiHidden/>
    <w:rsid w:val="00C96BE6"/>
    <w:rPr>
      <w:rFonts w:ascii="HRTimes" w:hAnsi="HRTimes"/>
      <w:lang w:eastAsia="en-US"/>
    </w:rPr>
  </w:style>
  <w:style w:type="paragraph" w:customStyle="1" w:styleId="PH">
    <w:name w:val="PH"/>
    <w:basedOn w:val="Header"/>
    <w:rsid w:val="00C96BE6"/>
    <w:pPr>
      <w:tabs>
        <w:tab w:val="clear" w:pos="4153"/>
        <w:tab w:val="clear" w:pos="8306"/>
      </w:tabs>
      <w:spacing w:line="301" w:lineRule="atLeast"/>
      <w:jc w:val="left"/>
    </w:pPr>
    <w:rPr>
      <w:sz w:val="24"/>
      <w:lang w:val="en-US" w:eastAsia="en-US"/>
    </w:rPr>
  </w:style>
  <w:style w:type="paragraph" w:customStyle="1" w:styleId="kristo">
    <w:name w:val="kristo"/>
    <w:basedOn w:val="Normal"/>
    <w:rsid w:val="00C96BE6"/>
    <w:pPr>
      <w:spacing w:after="120" w:line="23" w:lineRule="atLeast"/>
      <w:ind w:firstLine="567"/>
    </w:pPr>
    <w:rPr>
      <w:rFonts w:ascii="Times New Roman" w:hAnsi="Times New Roman"/>
      <w:i/>
      <w:spacing w:val="5"/>
      <w:sz w:val="26"/>
    </w:rPr>
  </w:style>
  <w:style w:type="paragraph" w:styleId="DocumentMap">
    <w:name w:val="Document Map"/>
    <w:basedOn w:val="Normal"/>
    <w:link w:val="DocumentMapChar"/>
    <w:semiHidden/>
    <w:rsid w:val="00C96BE6"/>
    <w:pPr>
      <w:shd w:val="clear" w:color="auto" w:fill="000080"/>
      <w:jc w:val="left"/>
    </w:pPr>
    <w:rPr>
      <w:rFonts w:ascii="Tahoma" w:hAnsi="Tahoma" w:cs="Tahoma"/>
      <w:sz w:val="20"/>
      <w:lang w:val="hr-HR" w:eastAsia="en-US"/>
    </w:rPr>
  </w:style>
  <w:style w:type="character" w:customStyle="1" w:styleId="DocumentMapChar">
    <w:name w:val="Document Map Char"/>
    <w:basedOn w:val="DefaultParagraphFont"/>
    <w:link w:val="DocumentMap"/>
    <w:semiHidden/>
    <w:rsid w:val="00C96BE6"/>
    <w:rPr>
      <w:rFonts w:ascii="Tahoma" w:hAnsi="Tahoma" w:cs="Tahoma"/>
      <w:shd w:val="clear" w:color="auto" w:fill="000080"/>
      <w:lang w:eastAsia="en-US"/>
    </w:rPr>
  </w:style>
  <w:style w:type="character" w:customStyle="1" w:styleId="apple-converted-space">
    <w:name w:val="apple-converted-space"/>
    <w:rsid w:val="00C96BE6"/>
  </w:style>
  <w:style w:type="character" w:styleId="FollowedHyperlink">
    <w:name w:val="FollowedHyperlink"/>
    <w:uiPriority w:val="99"/>
    <w:unhideWhenUsed/>
    <w:rsid w:val="00C96BE6"/>
    <w:rPr>
      <w:color w:val="800080"/>
      <w:u w:val="single"/>
    </w:rPr>
  </w:style>
  <w:style w:type="character" w:styleId="Strong">
    <w:name w:val="Strong"/>
    <w:uiPriority w:val="22"/>
    <w:qFormat/>
    <w:rsid w:val="00C96BE6"/>
    <w:rPr>
      <w:rFonts w:cs="Times New Roman"/>
      <w:b/>
      <w:bCs/>
    </w:rPr>
  </w:style>
  <w:style w:type="paragraph" w:styleId="NormalWeb">
    <w:name w:val="Normal (Web)"/>
    <w:basedOn w:val="Normal"/>
    <w:uiPriority w:val="99"/>
    <w:rsid w:val="00C96BE6"/>
    <w:pPr>
      <w:spacing w:before="100" w:beforeAutospacing="1" w:after="100" w:afterAutospacing="1"/>
      <w:jc w:val="left"/>
    </w:pPr>
    <w:rPr>
      <w:rFonts w:ascii="Times New Roman" w:hAnsi="Times New Roman"/>
      <w:sz w:val="24"/>
      <w:szCs w:val="24"/>
      <w:lang w:val="hr-HR"/>
    </w:rPr>
  </w:style>
  <w:style w:type="character" w:customStyle="1" w:styleId="t10">
    <w:name w:val="t1"/>
    <w:basedOn w:val="DefaultParagraphFont"/>
    <w:rsid w:val="00C96BE6"/>
  </w:style>
  <w:style w:type="paragraph" w:styleId="NoSpacing">
    <w:name w:val="No Spacing"/>
    <w:uiPriority w:val="1"/>
    <w:qFormat/>
    <w:rsid w:val="00C96BE6"/>
    <w:rPr>
      <w:sz w:val="24"/>
      <w:lang w:eastAsia="en-US"/>
    </w:rPr>
  </w:style>
  <w:style w:type="paragraph" w:customStyle="1" w:styleId="t-9-8">
    <w:name w:val="t-9-8"/>
    <w:basedOn w:val="Normal"/>
    <w:rsid w:val="00C96BE6"/>
    <w:pPr>
      <w:spacing w:before="100" w:beforeAutospacing="1" w:after="100" w:afterAutospacing="1"/>
      <w:jc w:val="left"/>
    </w:pPr>
    <w:rPr>
      <w:rFonts w:ascii="Times New Roman" w:hAnsi="Times New Roman"/>
      <w:sz w:val="24"/>
      <w:szCs w:val="24"/>
      <w:lang w:val="hr-HR"/>
    </w:rPr>
  </w:style>
  <w:style w:type="character" w:styleId="SubtleEmphasis">
    <w:name w:val="Subtle Emphasis"/>
    <w:uiPriority w:val="19"/>
    <w:qFormat/>
    <w:rsid w:val="00C96BE6"/>
    <w:rPr>
      <w:i/>
      <w:iCs/>
      <w:color w:val="404040"/>
    </w:rPr>
  </w:style>
  <w:style w:type="paragraph" w:styleId="HTMLPreformatted">
    <w:name w:val="HTML Preformatted"/>
    <w:basedOn w:val="Normal"/>
    <w:link w:val="HTMLPreformattedChar"/>
    <w:uiPriority w:val="99"/>
    <w:unhideWhenUsed/>
    <w:rsid w:val="00C96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hr-HR"/>
    </w:rPr>
  </w:style>
  <w:style w:type="character" w:customStyle="1" w:styleId="HTMLPreformattedChar">
    <w:name w:val="HTML Preformatted Char"/>
    <w:basedOn w:val="DefaultParagraphFont"/>
    <w:link w:val="HTMLPreformatted"/>
    <w:uiPriority w:val="99"/>
    <w:rsid w:val="00C96BE6"/>
    <w:rPr>
      <w:rFonts w:ascii="Courier New" w:hAnsi="Courier New" w:cs="Courier New"/>
    </w:rPr>
  </w:style>
  <w:style w:type="character" w:customStyle="1" w:styleId="y2iqfc">
    <w:name w:val="y2iqfc"/>
    <w:rsid w:val="00C9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9479">
      <w:bodyDiv w:val="1"/>
      <w:marLeft w:val="0"/>
      <w:marRight w:val="0"/>
      <w:marTop w:val="0"/>
      <w:marBottom w:val="0"/>
      <w:divBdr>
        <w:top w:val="none" w:sz="0" w:space="0" w:color="auto"/>
        <w:left w:val="none" w:sz="0" w:space="0" w:color="auto"/>
        <w:bottom w:val="none" w:sz="0" w:space="0" w:color="auto"/>
        <w:right w:val="none" w:sz="0" w:space="0" w:color="auto"/>
      </w:divBdr>
    </w:div>
    <w:div w:id="284778477">
      <w:bodyDiv w:val="1"/>
      <w:marLeft w:val="0"/>
      <w:marRight w:val="0"/>
      <w:marTop w:val="0"/>
      <w:marBottom w:val="0"/>
      <w:divBdr>
        <w:top w:val="none" w:sz="0" w:space="0" w:color="auto"/>
        <w:left w:val="none" w:sz="0" w:space="0" w:color="auto"/>
        <w:bottom w:val="none" w:sz="0" w:space="0" w:color="auto"/>
        <w:right w:val="none" w:sz="0" w:space="0" w:color="auto"/>
      </w:divBdr>
    </w:div>
    <w:div w:id="349646000">
      <w:bodyDiv w:val="1"/>
      <w:marLeft w:val="0"/>
      <w:marRight w:val="0"/>
      <w:marTop w:val="0"/>
      <w:marBottom w:val="0"/>
      <w:divBdr>
        <w:top w:val="none" w:sz="0" w:space="0" w:color="auto"/>
        <w:left w:val="none" w:sz="0" w:space="0" w:color="auto"/>
        <w:bottom w:val="none" w:sz="0" w:space="0" w:color="auto"/>
        <w:right w:val="none" w:sz="0" w:space="0" w:color="auto"/>
      </w:divBdr>
    </w:div>
    <w:div w:id="464398555">
      <w:bodyDiv w:val="1"/>
      <w:marLeft w:val="0"/>
      <w:marRight w:val="0"/>
      <w:marTop w:val="0"/>
      <w:marBottom w:val="0"/>
      <w:divBdr>
        <w:top w:val="none" w:sz="0" w:space="0" w:color="auto"/>
        <w:left w:val="none" w:sz="0" w:space="0" w:color="auto"/>
        <w:bottom w:val="none" w:sz="0" w:space="0" w:color="auto"/>
        <w:right w:val="none" w:sz="0" w:space="0" w:color="auto"/>
      </w:divBdr>
    </w:div>
    <w:div w:id="698506939">
      <w:bodyDiv w:val="1"/>
      <w:marLeft w:val="0"/>
      <w:marRight w:val="0"/>
      <w:marTop w:val="0"/>
      <w:marBottom w:val="0"/>
      <w:divBdr>
        <w:top w:val="none" w:sz="0" w:space="0" w:color="auto"/>
        <w:left w:val="none" w:sz="0" w:space="0" w:color="auto"/>
        <w:bottom w:val="none" w:sz="0" w:space="0" w:color="auto"/>
        <w:right w:val="none" w:sz="0" w:space="0" w:color="auto"/>
      </w:divBdr>
      <w:divsChild>
        <w:div w:id="1037005645">
          <w:marLeft w:val="0"/>
          <w:marRight w:val="0"/>
          <w:marTop w:val="0"/>
          <w:marBottom w:val="0"/>
          <w:divBdr>
            <w:top w:val="none" w:sz="0" w:space="0" w:color="auto"/>
            <w:left w:val="none" w:sz="0" w:space="0" w:color="auto"/>
            <w:bottom w:val="none" w:sz="0" w:space="0" w:color="auto"/>
            <w:right w:val="none" w:sz="0" w:space="0" w:color="auto"/>
          </w:divBdr>
        </w:div>
        <w:div w:id="1777402791">
          <w:marLeft w:val="0"/>
          <w:marRight w:val="0"/>
          <w:marTop w:val="0"/>
          <w:marBottom w:val="0"/>
          <w:divBdr>
            <w:top w:val="none" w:sz="0" w:space="0" w:color="auto"/>
            <w:left w:val="none" w:sz="0" w:space="0" w:color="auto"/>
            <w:bottom w:val="none" w:sz="0" w:space="0" w:color="auto"/>
            <w:right w:val="none" w:sz="0" w:space="0" w:color="auto"/>
          </w:divBdr>
        </w:div>
      </w:divsChild>
    </w:div>
    <w:div w:id="1149784224">
      <w:bodyDiv w:val="1"/>
      <w:marLeft w:val="0"/>
      <w:marRight w:val="0"/>
      <w:marTop w:val="0"/>
      <w:marBottom w:val="0"/>
      <w:divBdr>
        <w:top w:val="none" w:sz="0" w:space="0" w:color="auto"/>
        <w:left w:val="none" w:sz="0" w:space="0" w:color="auto"/>
        <w:bottom w:val="none" w:sz="0" w:space="0" w:color="auto"/>
        <w:right w:val="none" w:sz="0" w:space="0" w:color="auto"/>
      </w:divBdr>
    </w:div>
    <w:div w:id="1205488685">
      <w:bodyDiv w:val="1"/>
      <w:marLeft w:val="0"/>
      <w:marRight w:val="0"/>
      <w:marTop w:val="0"/>
      <w:marBottom w:val="0"/>
      <w:divBdr>
        <w:top w:val="none" w:sz="0" w:space="0" w:color="auto"/>
        <w:left w:val="none" w:sz="0" w:space="0" w:color="auto"/>
        <w:bottom w:val="none" w:sz="0" w:space="0" w:color="auto"/>
        <w:right w:val="none" w:sz="0" w:space="0" w:color="auto"/>
      </w:divBdr>
    </w:div>
    <w:div w:id="1313559707">
      <w:bodyDiv w:val="1"/>
      <w:marLeft w:val="0"/>
      <w:marRight w:val="0"/>
      <w:marTop w:val="0"/>
      <w:marBottom w:val="0"/>
      <w:divBdr>
        <w:top w:val="none" w:sz="0" w:space="0" w:color="auto"/>
        <w:left w:val="none" w:sz="0" w:space="0" w:color="auto"/>
        <w:bottom w:val="none" w:sz="0" w:space="0" w:color="auto"/>
        <w:right w:val="none" w:sz="0" w:space="0" w:color="auto"/>
      </w:divBdr>
    </w:div>
    <w:div w:id="1514225115">
      <w:bodyDiv w:val="1"/>
      <w:marLeft w:val="0"/>
      <w:marRight w:val="0"/>
      <w:marTop w:val="0"/>
      <w:marBottom w:val="0"/>
      <w:divBdr>
        <w:top w:val="none" w:sz="0" w:space="0" w:color="auto"/>
        <w:left w:val="none" w:sz="0" w:space="0" w:color="auto"/>
        <w:bottom w:val="none" w:sz="0" w:space="0" w:color="auto"/>
        <w:right w:val="none" w:sz="0" w:space="0" w:color="auto"/>
      </w:divBdr>
    </w:div>
    <w:div w:id="1655648041">
      <w:bodyDiv w:val="1"/>
      <w:marLeft w:val="0"/>
      <w:marRight w:val="0"/>
      <w:marTop w:val="0"/>
      <w:marBottom w:val="0"/>
      <w:divBdr>
        <w:top w:val="none" w:sz="0" w:space="0" w:color="auto"/>
        <w:left w:val="none" w:sz="0" w:space="0" w:color="auto"/>
        <w:bottom w:val="none" w:sz="0" w:space="0" w:color="auto"/>
        <w:right w:val="none" w:sz="0" w:space="0" w:color="auto"/>
      </w:divBdr>
    </w:div>
    <w:div w:id="1779907340">
      <w:bodyDiv w:val="1"/>
      <w:marLeft w:val="0"/>
      <w:marRight w:val="0"/>
      <w:marTop w:val="0"/>
      <w:marBottom w:val="0"/>
      <w:divBdr>
        <w:top w:val="none" w:sz="0" w:space="0" w:color="auto"/>
        <w:left w:val="none" w:sz="0" w:space="0" w:color="auto"/>
        <w:bottom w:val="none" w:sz="0" w:space="0" w:color="auto"/>
        <w:right w:val="none" w:sz="0" w:space="0" w:color="auto"/>
      </w:divBdr>
    </w:div>
    <w:div w:id="18526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169C2-8C11-634D-8B9C-268959F3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4259</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Normal template</vt:lpstr>
    </vt:vector>
  </TitlesOfParts>
  <Company>Hewlett-Packard Company</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Korisnik</dc:creator>
  <cp:lastModifiedBy>Dina Šilović</cp:lastModifiedBy>
  <cp:revision>2</cp:revision>
  <cp:lastPrinted>2023-02-20T12:27:00Z</cp:lastPrinted>
  <dcterms:created xsi:type="dcterms:W3CDTF">2024-02-29T10:33:00Z</dcterms:created>
  <dcterms:modified xsi:type="dcterms:W3CDTF">2024-02-29T10:33:00Z</dcterms:modified>
</cp:coreProperties>
</file>