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C4E5" w14:textId="77777777" w:rsidR="005A000D" w:rsidRPr="00143B8D" w:rsidRDefault="005A000D" w:rsidP="005A000D">
      <w:pPr>
        <w:jc w:val="right"/>
      </w:pPr>
      <w:bookmarkStart w:id="0" w:name="_Toc417980946"/>
      <w:r w:rsidRPr="00143B8D">
        <w:rPr>
          <w:b/>
          <w:noProof/>
          <w:sz w:val="36"/>
          <w:szCs w:val="36"/>
          <w:lang w:eastAsia="hr-HR"/>
        </w:rPr>
        <w:drawing>
          <wp:inline distT="0" distB="0" distL="0" distR="0" wp14:anchorId="78558D08" wp14:editId="05105196">
            <wp:extent cx="1842435" cy="648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P MAP colors.jpg"/>
                    <pic:cNvPicPr/>
                  </pic:nvPicPr>
                  <pic:blipFill rotWithShape="1">
                    <a:blip r:embed="rId8" cstate="print">
                      <a:extLst>
                        <a:ext uri="{28A0092B-C50C-407E-A947-70E740481C1C}">
                          <a14:useLocalDpi xmlns:a14="http://schemas.microsoft.com/office/drawing/2010/main" val="0"/>
                        </a:ext>
                      </a:extLst>
                    </a:blip>
                    <a:srcRect l="881" t="11218" r="1" b="12820"/>
                    <a:stretch/>
                  </pic:blipFill>
                  <pic:spPr bwMode="auto">
                    <a:xfrm>
                      <a:off x="0" y="0"/>
                      <a:ext cx="1842435" cy="648000"/>
                    </a:xfrm>
                    <a:prstGeom prst="rect">
                      <a:avLst/>
                    </a:prstGeom>
                    <a:ln>
                      <a:noFill/>
                    </a:ln>
                    <a:extLst>
                      <a:ext uri="{53640926-AAD7-44D8-BBD7-CCE9431645EC}">
                        <a14:shadowObscured xmlns:a14="http://schemas.microsoft.com/office/drawing/2010/main"/>
                      </a:ext>
                    </a:extLst>
                  </pic:spPr>
                </pic:pic>
              </a:graphicData>
            </a:graphic>
          </wp:inline>
        </w:drawing>
      </w:r>
      <w:r w:rsidRPr="00143B8D">
        <w:t xml:space="preserve">   </w:t>
      </w:r>
      <w:r w:rsidRPr="00143B8D">
        <w:rPr>
          <w:noProof/>
          <w:lang w:eastAsia="hr-HR"/>
        </w:rPr>
        <w:drawing>
          <wp:inline distT="0" distB="0" distL="0" distR="0" wp14:anchorId="5E16ADB3" wp14:editId="27128D70">
            <wp:extent cx="612000" cy="61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_logo_20Nov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p>
    <w:p w14:paraId="02DF4DA7" w14:textId="77777777" w:rsidR="005A000D" w:rsidRPr="00143B8D" w:rsidRDefault="005A000D" w:rsidP="005A000D">
      <w:pPr>
        <w:jc w:val="right"/>
      </w:pPr>
    </w:p>
    <w:p w14:paraId="4BB2A595" w14:textId="77777777" w:rsidR="005A000D" w:rsidRPr="00143B8D" w:rsidRDefault="005A000D" w:rsidP="005A000D">
      <w:pPr>
        <w:jc w:val="right"/>
      </w:pPr>
    </w:p>
    <w:p w14:paraId="1F871B87" w14:textId="77777777" w:rsidR="005A000D" w:rsidRPr="00143B8D" w:rsidRDefault="005A000D" w:rsidP="005A000D">
      <w:pPr>
        <w:jc w:val="right"/>
      </w:pPr>
    </w:p>
    <w:p w14:paraId="1D37BEB8" w14:textId="77777777" w:rsidR="005A000D" w:rsidRPr="00143B8D" w:rsidRDefault="005A000D" w:rsidP="005A000D">
      <w:pPr>
        <w:jc w:val="right"/>
      </w:pPr>
    </w:p>
    <w:p w14:paraId="2272CCD1" w14:textId="77777777" w:rsidR="005A000D" w:rsidRDefault="005A000D" w:rsidP="005A000D">
      <w:pPr>
        <w:spacing w:after="60"/>
        <w:jc w:val="center"/>
        <w:rPr>
          <w:rFonts w:ascii="Corbel" w:hAnsi="Corbel"/>
          <w:b/>
          <w:sz w:val="32"/>
          <w:szCs w:val="32"/>
        </w:rPr>
      </w:pPr>
      <w:bookmarkStart w:id="1" w:name="_GoBack"/>
      <w:bookmarkEnd w:id="1"/>
    </w:p>
    <w:p w14:paraId="29283E40" w14:textId="77777777" w:rsidR="005A000D" w:rsidRDefault="005A000D" w:rsidP="005A000D">
      <w:pPr>
        <w:spacing w:after="60"/>
        <w:jc w:val="center"/>
        <w:rPr>
          <w:rFonts w:ascii="Corbel" w:hAnsi="Corbel"/>
          <w:b/>
          <w:sz w:val="32"/>
          <w:szCs w:val="32"/>
        </w:rPr>
      </w:pPr>
    </w:p>
    <w:p w14:paraId="07E8EC4E" w14:textId="77777777" w:rsidR="005A000D" w:rsidRDefault="005A000D" w:rsidP="005A000D">
      <w:pPr>
        <w:spacing w:after="60"/>
        <w:jc w:val="center"/>
        <w:rPr>
          <w:rFonts w:ascii="Corbel" w:hAnsi="Corbel"/>
          <w:b/>
          <w:sz w:val="32"/>
          <w:szCs w:val="32"/>
        </w:rPr>
      </w:pPr>
    </w:p>
    <w:p w14:paraId="0DBE11A7" w14:textId="77777777" w:rsidR="005A000D" w:rsidRDefault="005A000D" w:rsidP="005A000D">
      <w:pPr>
        <w:spacing w:after="60"/>
        <w:jc w:val="center"/>
        <w:rPr>
          <w:rFonts w:ascii="Corbel" w:hAnsi="Corbel"/>
          <w:b/>
          <w:sz w:val="32"/>
          <w:szCs w:val="32"/>
        </w:rPr>
      </w:pPr>
    </w:p>
    <w:p w14:paraId="2F557878" w14:textId="14BFE72C" w:rsidR="00EF5134" w:rsidRDefault="00EF5134" w:rsidP="00EF5134">
      <w:pPr>
        <w:jc w:val="center"/>
        <w:rPr>
          <w:b/>
          <w:color w:val="0070C0"/>
          <w:sz w:val="40"/>
          <w:szCs w:val="40"/>
        </w:rPr>
      </w:pPr>
      <w:r w:rsidRPr="00EF5134">
        <w:rPr>
          <w:b/>
          <w:color w:val="0070C0"/>
          <w:sz w:val="40"/>
          <w:szCs w:val="40"/>
        </w:rPr>
        <w:t>Guidelines for environmental assessment in a transboundary context on the procedures for notification, exchange of information and consultation among the Mediterranean States</w:t>
      </w:r>
    </w:p>
    <w:p w14:paraId="3FF3C328" w14:textId="74EBCA61" w:rsidR="00EF5134" w:rsidRPr="00EF5134" w:rsidRDefault="00EF5134" w:rsidP="00EF5134">
      <w:pPr>
        <w:pStyle w:val="ListParagraph"/>
        <w:ind w:left="0"/>
        <w:jc w:val="center"/>
        <w:rPr>
          <w:b/>
          <w:color w:val="0070C0"/>
          <w:sz w:val="40"/>
          <w:szCs w:val="40"/>
        </w:rPr>
      </w:pPr>
      <w:r w:rsidRPr="00EF5134">
        <w:rPr>
          <w:b/>
          <w:color w:val="0070C0"/>
          <w:sz w:val="40"/>
          <w:szCs w:val="40"/>
        </w:rPr>
        <w:t>–</w:t>
      </w:r>
      <w:r w:rsidRPr="00EF5134">
        <w:rPr>
          <w:b/>
          <w:color w:val="0070C0"/>
          <w:sz w:val="40"/>
          <w:szCs w:val="40"/>
        </w:rPr>
        <w:t xml:space="preserve"> </w:t>
      </w:r>
      <w:r w:rsidRPr="00EF5134">
        <w:rPr>
          <w:b/>
          <w:color w:val="0070C0"/>
          <w:sz w:val="40"/>
          <w:szCs w:val="40"/>
        </w:rPr>
        <w:t>Draft</w:t>
      </w:r>
      <w:r w:rsidRPr="00EF5134">
        <w:rPr>
          <w:b/>
          <w:color w:val="0070C0"/>
          <w:sz w:val="40"/>
          <w:szCs w:val="40"/>
        </w:rPr>
        <w:t xml:space="preserve"> –</w:t>
      </w:r>
    </w:p>
    <w:p w14:paraId="7CFB5E72" w14:textId="126175E0" w:rsidR="00EF5134" w:rsidRPr="00EF5134" w:rsidRDefault="00EF5134" w:rsidP="00EF5134">
      <w:pPr>
        <w:pStyle w:val="ListParagraph"/>
        <w:rPr>
          <w:color w:val="0070C0"/>
          <w:sz w:val="40"/>
          <w:szCs w:val="40"/>
        </w:rPr>
      </w:pPr>
      <w:r w:rsidRPr="00EF5134">
        <w:rPr>
          <w:color w:val="0070C0"/>
          <w:sz w:val="40"/>
          <w:szCs w:val="40"/>
        </w:rPr>
        <w:t xml:space="preserve"> </w:t>
      </w:r>
    </w:p>
    <w:p w14:paraId="2CD72457" w14:textId="77777777" w:rsidR="005A000D" w:rsidRPr="00143B8D" w:rsidRDefault="005A000D" w:rsidP="005A000D">
      <w:pPr>
        <w:jc w:val="center"/>
        <w:rPr>
          <w:b/>
          <w:sz w:val="36"/>
          <w:szCs w:val="36"/>
        </w:rPr>
      </w:pPr>
    </w:p>
    <w:p w14:paraId="73C74F00" w14:textId="77777777" w:rsidR="005A000D" w:rsidRPr="00143B8D" w:rsidRDefault="005A000D" w:rsidP="005A000D">
      <w:pPr>
        <w:jc w:val="center"/>
        <w:rPr>
          <w:b/>
          <w:bCs/>
          <w:color w:val="005BAA"/>
          <w:sz w:val="28"/>
          <w:szCs w:val="28"/>
        </w:rPr>
      </w:pPr>
    </w:p>
    <w:p w14:paraId="402E9E73" w14:textId="77777777" w:rsidR="005A000D" w:rsidRPr="00143B8D" w:rsidRDefault="005A000D" w:rsidP="005A000D">
      <w:pPr>
        <w:jc w:val="center"/>
        <w:rPr>
          <w:b/>
          <w:bCs/>
          <w:color w:val="005BAA"/>
          <w:sz w:val="28"/>
          <w:szCs w:val="28"/>
        </w:rPr>
      </w:pPr>
    </w:p>
    <w:p w14:paraId="57816789" w14:textId="77777777" w:rsidR="005A000D" w:rsidRPr="00143B8D" w:rsidRDefault="005A000D" w:rsidP="005A000D">
      <w:pPr>
        <w:jc w:val="center"/>
        <w:rPr>
          <w:b/>
          <w:bCs/>
          <w:color w:val="005BAA"/>
          <w:sz w:val="28"/>
          <w:szCs w:val="28"/>
        </w:rPr>
      </w:pPr>
    </w:p>
    <w:p w14:paraId="1A6DD0BB" w14:textId="77777777" w:rsidR="005A000D" w:rsidRPr="00143B8D" w:rsidRDefault="005A000D" w:rsidP="005A000D">
      <w:pPr>
        <w:jc w:val="center"/>
        <w:rPr>
          <w:b/>
          <w:bCs/>
          <w:color w:val="005BAA"/>
          <w:sz w:val="28"/>
          <w:szCs w:val="28"/>
        </w:rPr>
      </w:pPr>
    </w:p>
    <w:p w14:paraId="36B76D91" w14:textId="77777777" w:rsidR="005A000D" w:rsidRDefault="005A000D" w:rsidP="005A000D">
      <w:pPr>
        <w:jc w:val="center"/>
        <w:rPr>
          <w:b/>
          <w:bCs/>
          <w:color w:val="005BAA"/>
          <w:sz w:val="28"/>
          <w:szCs w:val="28"/>
        </w:rPr>
      </w:pPr>
    </w:p>
    <w:p w14:paraId="35F32739" w14:textId="77777777" w:rsidR="005A000D" w:rsidRDefault="005A000D" w:rsidP="005A000D">
      <w:pPr>
        <w:jc w:val="center"/>
        <w:rPr>
          <w:b/>
          <w:bCs/>
          <w:color w:val="005BAA"/>
          <w:sz w:val="28"/>
          <w:szCs w:val="28"/>
        </w:rPr>
      </w:pPr>
    </w:p>
    <w:p w14:paraId="4C347D7D" w14:textId="77777777" w:rsidR="005A000D" w:rsidRDefault="005A000D" w:rsidP="005A000D">
      <w:pPr>
        <w:jc w:val="center"/>
        <w:rPr>
          <w:b/>
          <w:bCs/>
          <w:color w:val="005BAA"/>
          <w:sz w:val="28"/>
          <w:szCs w:val="28"/>
        </w:rPr>
      </w:pPr>
    </w:p>
    <w:p w14:paraId="14BEFEB4" w14:textId="77777777" w:rsidR="005A000D" w:rsidRDefault="005A000D" w:rsidP="005A000D">
      <w:pPr>
        <w:jc w:val="center"/>
        <w:rPr>
          <w:b/>
          <w:bCs/>
          <w:color w:val="005BAA"/>
          <w:sz w:val="28"/>
          <w:szCs w:val="28"/>
        </w:rPr>
      </w:pPr>
    </w:p>
    <w:p w14:paraId="7E3DEE24" w14:textId="68A28B38" w:rsidR="005A000D" w:rsidRPr="00EF5134" w:rsidRDefault="005A000D" w:rsidP="005A000D">
      <w:pPr>
        <w:ind w:left="-709"/>
        <w:jc w:val="center"/>
        <w:rPr>
          <w:rFonts w:cstheme="minorHAnsi"/>
          <w:b/>
          <w:bCs/>
          <w:color w:val="005BAA"/>
          <w:sz w:val="28"/>
          <w:szCs w:val="28"/>
        </w:rPr>
      </w:pPr>
      <w:r w:rsidRPr="00EF5134">
        <w:rPr>
          <w:rFonts w:cstheme="minorHAnsi"/>
          <w:b/>
          <w:bCs/>
          <w:color w:val="005BAA"/>
          <w:sz w:val="28"/>
          <w:szCs w:val="28"/>
        </w:rPr>
        <w:t>Split, April 2019</w:t>
      </w:r>
      <w:bookmarkEnd w:id="0"/>
    </w:p>
    <w:p w14:paraId="31226AF2" w14:textId="3551FAF5" w:rsidR="0096273D" w:rsidRDefault="0096273D" w:rsidP="00CE7AAD">
      <w:pPr>
        <w:jc w:val="center"/>
        <w:rPr>
          <w:b/>
          <w:color w:val="000000" w:themeColor="text1"/>
          <w:sz w:val="32"/>
          <w:szCs w:val="32"/>
        </w:rPr>
      </w:pPr>
      <w:r w:rsidRPr="0096273D">
        <w:rPr>
          <w:b/>
          <w:color w:val="000000" w:themeColor="text1"/>
          <w:sz w:val="32"/>
          <w:szCs w:val="32"/>
        </w:rPr>
        <w:lastRenderedPageBreak/>
        <w:t>Guidelines for environmental assessment in a transboundary context on the procedures for notification, exchange of information and consultation among the Mediterranean States</w:t>
      </w:r>
    </w:p>
    <w:p w14:paraId="60B51195" w14:textId="79FFD208" w:rsidR="00486A8D" w:rsidRDefault="00486A8D" w:rsidP="00CE7AAD">
      <w:pPr>
        <w:jc w:val="center"/>
        <w:rPr>
          <w:b/>
          <w:color w:val="000000" w:themeColor="text1"/>
          <w:sz w:val="32"/>
          <w:szCs w:val="32"/>
        </w:rPr>
      </w:pPr>
      <w:r>
        <w:rPr>
          <w:b/>
          <w:color w:val="000000" w:themeColor="text1"/>
          <w:sz w:val="32"/>
          <w:szCs w:val="32"/>
        </w:rPr>
        <w:t xml:space="preserve">Draft </w:t>
      </w:r>
    </w:p>
    <w:p w14:paraId="68D74A91" w14:textId="77777777" w:rsidR="00220091" w:rsidRPr="00486A8D" w:rsidRDefault="00220091" w:rsidP="00CE7AAD">
      <w:pPr>
        <w:jc w:val="center"/>
        <w:rPr>
          <w:sz w:val="24"/>
          <w:szCs w:val="24"/>
        </w:rPr>
      </w:pPr>
    </w:p>
    <w:p w14:paraId="106D86C5" w14:textId="77777777" w:rsidR="00AD2941" w:rsidRDefault="00AD2941" w:rsidP="00CF0EAA"/>
    <w:sdt>
      <w:sdtPr>
        <w:rPr>
          <w:rFonts w:asciiTheme="minorHAnsi" w:eastAsiaTheme="minorHAnsi" w:hAnsiTheme="minorHAnsi" w:cstheme="minorBidi"/>
          <w:color w:val="auto"/>
          <w:sz w:val="22"/>
          <w:szCs w:val="22"/>
          <w:lang w:val="en-GB"/>
        </w:rPr>
        <w:id w:val="-1939976106"/>
        <w:docPartObj>
          <w:docPartGallery w:val="Table of Contents"/>
          <w:docPartUnique/>
        </w:docPartObj>
      </w:sdtPr>
      <w:sdtEndPr>
        <w:rPr>
          <w:b/>
          <w:bCs/>
          <w:noProof/>
        </w:rPr>
      </w:sdtEndPr>
      <w:sdtContent>
        <w:p w14:paraId="54D7DBEA" w14:textId="77777777" w:rsidR="007F2378" w:rsidRDefault="007F2378">
          <w:pPr>
            <w:pStyle w:val="TOCHeading"/>
            <w:rPr>
              <w:b/>
              <w:sz w:val="24"/>
              <w:szCs w:val="24"/>
            </w:rPr>
          </w:pPr>
          <w:r w:rsidRPr="00CE7AAD">
            <w:rPr>
              <w:b/>
              <w:sz w:val="24"/>
              <w:szCs w:val="24"/>
            </w:rPr>
            <w:t>Table of Contents</w:t>
          </w:r>
        </w:p>
        <w:p w14:paraId="6CAA31AD" w14:textId="77777777" w:rsidR="00E82125" w:rsidRPr="00E82125" w:rsidRDefault="00E82125" w:rsidP="00E82125">
          <w:pPr>
            <w:rPr>
              <w:lang w:val="en-US"/>
            </w:rPr>
          </w:pPr>
        </w:p>
        <w:p w14:paraId="7F1F5C9F" w14:textId="30363742" w:rsidR="00E82125" w:rsidRDefault="00215A3E" w:rsidP="00E82125">
          <w:pPr>
            <w:pStyle w:val="TOC1"/>
            <w:tabs>
              <w:tab w:val="left" w:pos="440"/>
              <w:tab w:val="right" w:leader="dot" w:pos="9060"/>
            </w:tabs>
            <w:spacing w:after="0" w:line="240" w:lineRule="auto"/>
            <w:rPr>
              <w:rFonts w:eastAsiaTheme="minorEastAsia"/>
              <w:noProof/>
              <w:lang w:val="sr-Latn-RS" w:eastAsia="sr-Latn-RS"/>
            </w:rPr>
          </w:pPr>
          <w:r>
            <w:rPr>
              <w:b/>
              <w:bCs/>
              <w:noProof/>
            </w:rPr>
            <w:fldChar w:fldCharType="begin"/>
          </w:r>
          <w:r w:rsidR="007F2378">
            <w:rPr>
              <w:b/>
              <w:bCs/>
              <w:noProof/>
            </w:rPr>
            <w:instrText xml:space="preserve"> TOC \o "1-3" \h \z \u </w:instrText>
          </w:r>
          <w:r>
            <w:rPr>
              <w:b/>
              <w:bCs/>
              <w:noProof/>
            </w:rPr>
            <w:fldChar w:fldCharType="separate"/>
          </w:r>
          <w:hyperlink w:anchor="_Toc5308772" w:history="1">
            <w:r w:rsidR="00E82125" w:rsidRPr="002F1C78">
              <w:rPr>
                <w:rStyle w:val="Hyperlink"/>
                <w:noProof/>
              </w:rPr>
              <w:t>1</w:t>
            </w:r>
            <w:r w:rsidR="00E82125">
              <w:rPr>
                <w:rFonts w:eastAsiaTheme="minorEastAsia"/>
                <w:noProof/>
                <w:lang w:val="sr-Latn-RS" w:eastAsia="sr-Latn-RS"/>
              </w:rPr>
              <w:tab/>
            </w:r>
            <w:r w:rsidR="00E82125" w:rsidRPr="002F1C78">
              <w:rPr>
                <w:rStyle w:val="Hyperlink"/>
                <w:noProof/>
              </w:rPr>
              <w:t>Context, the need for and purpose of the Guidelines</w:t>
            </w:r>
            <w:r w:rsidR="00E82125">
              <w:rPr>
                <w:noProof/>
                <w:webHidden/>
              </w:rPr>
              <w:tab/>
            </w:r>
          </w:hyperlink>
          <w:r w:rsidR="005A000D">
            <w:rPr>
              <w:noProof/>
            </w:rPr>
            <w:t>3</w:t>
          </w:r>
        </w:p>
        <w:p w14:paraId="7131492D" w14:textId="3C3600C5" w:rsidR="00E82125" w:rsidRDefault="002C2694" w:rsidP="00E82125">
          <w:pPr>
            <w:pStyle w:val="TOC1"/>
            <w:tabs>
              <w:tab w:val="left" w:pos="440"/>
              <w:tab w:val="right" w:leader="dot" w:pos="9060"/>
            </w:tabs>
            <w:spacing w:after="0" w:line="240" w:lineRule="auto"/>
            <w:rPr>
              <w:rFonts w:eastAsiaTheme="minorEastAsia"/>
              <w:noProof/>
              <w:lang w:val="sr-Latn-RS" w:eastAsia="sr-Latn-RS"/>
            </w:rPr>
          </w:pPr>
          <w:hyperlink w:anchor="_Toc5308773" w:history="1">
            <w:r w:rsidR="00E82125" w:rsidRPr="002F1C78">
              <w:rPr>
                <w:rStyle w:val="Hyperlink"/>
                <w:noProof/>
              </w:rPr>
              <w:t>2</w:t>
            </w:r>
            <w:r w:rsidR="00E82125">
              <w:rPr>
                <w:rFonts w:eastAsiaTheme="minorEastAsia"/>
                <w:noProof/>
                <w:lang w:val="sr-Latn-RS" w:eastAsia="sr-Latn-RS"/>
              </w:rPr>
              <w:tab/>
            </w:r>
            <w:r w:rsidR="00E82125" w:rsidRPr="002F1C78">
              <w:rPr>
                <w:rStyle w:val="Hyperlink"/>
                <w:noProof/>
              </w:rPr>
              <w:t>Legal frameworks for the implementation of transboundary environmental assessments in the Mediterranean</w:t>
            </w:r>
            <w:r w:rsidR="00E82125">
              <w:rPr>
                <w:noProof/>
                <w:webHidden/>
              </w:rPr>
              <w:tab/>
            </w:r>
          </w:hyperlink>
          <w:r w:rsidR="005A000D">
            <w:rPr>
              <w:noProof/>
            </w:rPr>
            <w:t>4</w:t>
          </w:r>
        </w:p>
        <w:p w14:paraId="0AD148A6" w14:textId="69A49792" w:rsidR="00E82125" w:rsidRDefault="002C2694" w:rsidP="00E82125">
          <w:pPr>
            <w:pStyle w:val="TOC2"/>
            <w:tabs>
              <w:tab w:val="left" w:pos="880"/>
              <w:tab w:val="right" w:leader="dot" w:pos="9060"/>
            </w:tabs>
            <w:spacing w:after="0" w:line="240" w:lineRule="auto"/>
            <w:rPr>
              <w:rFonts w:eastAsiaTheme="minorEastAsia"/>
              <w:noProof/>
              <w:lang w:val="sr-Latn-RS" w:eastAsia="sr-Latn-RS"/>
            </w:rPr>
          </w:pPr>
          <w:hyperlink w:anchor="_Toc5308774" w:history="1">
            <w:r w:rsidR="00E82125" w:rsidRPr="002F1C78">
              <w:rPr>
                <w:rStyle w:val="Hyperlink"/>
                <w:noProof/>
              </w:rPr>
              <w:t>2.1</w:t>
            </w:r>
            <w:r w:rsidR="00E82125">
              <w:rPr>
                <w:rFonts w:eastAsiaTheme="minorEastAsia"/>
                <w:noProof/>
                <w:lang w:val="sr-Latn-RS" w:eastAsia="sr-Latn-RS"/>
              </w:rPr>
              <w:tab/>
            </w:r>
            <w:r w:rsidR="00E82125" w:rsidRPr="002F1C78">
              <w:rPr>
                <w:rStyle w:val="Hyperlink"/>
                <w:noProof/>
              </w:rPr>
              <w:t>Barcelona Convention and ICZM Protocol</w:t>
            </w:r>
            <w:r w:rsidR="00E82125">
              <w:rPr>
                <w:noProof/>
                <w:webHidden/>
              </w:rPr>
              <w:tab/>
            </w:r>
          </w:hyperlink>
          <w:r w:rsidR="005A000D">
            <w:rPr>
              <w:noProof/>
            </w:rPr>
            <w:t>4</w:t>
          </w:r>
        </w:p>
        <w:p w14:paraId="19DCC12E" w14:textId="3EDE163C" w:rsidR="00E82125" w:rsidRDefault="002C2694" w:rsidP="00E82125">
          <w:pPr>
            <w:pStyle w:val="TOC2"/>
            <w:tabs>
              <w:tab w:val="left" w:pos="880"/>
              <w:tab w:val="right" w:leader="dot" w:pos="9060"/>
            </w:tabs>
            <w:spacing w:after="0" w:line="240" w:lineRule="auto"/>
            <w:rPr>
              <w:rFonts w:eastAsiaTheme="minorEastAsia"/>
              <w:noProof/>
              <w:lang w:val="sr-Latn-RS" w:eastAsia="sr-Latn-RS"/>
            </w:rPr>
          </w:pPr>
          <w:hyperlink w:anchor="_Toc5308775" w:history="1">
            <w:r w:rsidR="00E82125" w:rsidRPr="002F1C78">
              <w:rPr>
                <w:rStyle w:val="Hyperlink"/>
                <w:noProof/>
              </w:rPr>
              <w:t>2.2</w:t>
            </w:r>
            <w:r w:rsidR="00E82125">
              <w:rPr>
                <w:rFonts w:eastAsiaTheme="minorEastAsia"/>
                <w:noProof/>
                <w:lang w:val="sr-Latn-RS" w:eastAsia="sr-Latn-RS"/>
              </w:rPr>
              <w:tab/>
            </w:r>
            <w:r w:rsidR="00E82125" w:rsidRPr="002F1C78">
              <w:rPr>
                <w:rStyle w:val="Hyperlink"/>
                <w:noProof/>
              </w:rPr>
              <w:t>UNECE Convention and SEA Protocol</w:t>
            </w:r>
            <w:r w:rsidR="00E82125">
              <w:rPr>
                <w:noProof/>
                <w:webHidden/>
              </w:rPr>
              <w:tab/>
            </w:r>
          </w:hyperlink>
          <w:r w:rsidR="005A000D">
            <w:rPr>
              <w:noProof/>
            </w:rPr>
            <w:t>5</w:t>
          </w:r>
        </w:p>
        <w:p w14:paraId="44EBB004" w14:textId="6DEED0A0" w:rsidR="00E82125" w:rsidRDefault="002C2694" w:rsidP="00E82125">
          <w:pPr>
            <w:pStyle w:val="TOC2"/>
            <w:tabs>
              <w:tab w:val="left" w:pos="880"/>
              <w:tab w:val="right" w:leader="dot" w:pos="9060"/>
            </w:tabs>
            <w:spacing w:after="0" w:line="240" w:lineRule="auto"/>
            <w:rPr>
              <w:rFonts w:eastAsiaTheme="minorEastAsia"/>
              <w:noProof/>
              <w:lang w:val="sr-Latn-RS" w:eastAsia="sr-Latn-RS"/>
            </w:rPr>
          </w:pPr>
          <w:hyperlink w:anchor="_Toc5308776" w:history="1">
            <w:r w:rsidR="00E82125" w:rsidRPr="002F1C78">
              <w:rPr>
                <w:rStyle w:val="Hyperlink"/>
                <w:noProof/>
              </w:rPr>
              <w:t>2.3</w:t>
            </w:r>
            <w:r w:rsidR="00E82125">
              <w:rPr>
                <w:rFonts w:eastAsiaTheme="minorEastAsia"/>
                <w:noProof/>
                <w:lang w:val="sr-Latn-RS" w:eastAsia="sr-Latn-RS"/>
              </w:rPr>
              <w:tab/>
            </w:r>
            <w:r w:rsidR="00E82125" w:rsidRPr="002F1C78">
              <w:rPr>
                <w:rStyle w:val="Hyperlink"/>
                <w:noProof/>
              </w:rPr>
              <w:t>EU Directives</w:t>
            </w:r>
            <w:r w:rsidR="00E82125">
              <w:rPr>
                <w:noProof/>
                <w:webHidden/>
              </w:rPr>
              <w:tab/>
            </w:r>
          </w:hyperlink>
          <w:r w:rsidR="005A000D">
            <w:rPr>
              <w:noProof/>
            </w:rPr>
            <w:t>6</w:t>
          </w:r>
        </w:p>
        <w:p w14:paraId="20CC6D09" w14:textId="40C1B7C9" w:rsidR="00E82125" w:rsidRDefault="002C2694" w:rsidP="00E82125">
          <w:pPr>
            <w:pStyle w:val="TOC1"/>
            <w:tabs>
              <w:tab w:val="left" w:pos="440"/>
              <w:tab w:val="right" w:leader="dot" w:pos="9060"/>
            </w:tabs>
            <w:spacing w:after="0" w:line="240" w:lineRule="auto"/>
            <w:rPr>
              <w:rFonts w:eastAsiaTheme="minorEastAsia"/>
              <w:noProof/>
              <w:lang w:val="sr-Latn-RS" w:eastAsia="sr-Latn-RS"/>
            </w:rPr>
          </w:pPr>
          <w:hyperlink w:anchor="_Toc5308777" w:history="1">
            <w:r w:rsidR="00E82125" w:rsidRPr="002F1C78">
              <w:rPr>
                <w:rStyle w:val="Hyperlink"/>
                <w:noProof/>
              </w:rPr>
              <w:t>3</w:t>
            </w:r>
            <w:r w:rsidR="00E82125">
              <w:rPr>
                <w:rFonts w:eastAsiaTheme="minorEastAsia"/>
                <w:noProof/>
                <w:lang w:val="sr-Latn-RS" w:eastAsia="sr-Latn-RS"/>
              </w:rPr>
              <w:tab/>
            </w:r>
            <w:r w:rsidR="00E82125" w:rsidRPr="002F1C78">
              <w:rPr>
                <w:rStyle w:val="Hyperlink"/>
                <w:noProof/>
              </w:rPr>
              <w:t>Policy framework of the Barcelona Convention</w:t>
            </w:r>
            <w:r w:rsidR="00E82125">
              <w:rPr>
                <w:noProof/>
                <w:webHidden/>
              </w:rPr>
              <w:tab/>
            </w:r>
          </w:hyperlink>
          <w:r w:rsidR="005A000D">
            <w:rPr>
              <w:noProof/>
            </w:rPr>
            <w:t>6</w:t>
          </w:r>
        </w:p>
        <w:p w14:paraId="5D7FB51B" w14:textId="43C8EE0D" w:rsidR="00E82125" w:rsidRDefault="002C2694" w:rsidP="00E82125">
          <w:pPr>
            <w:pStyle w:val="TOC1"/>
            <w:tabs>
              <w:tab w:val="left" w:pos="440"/>
              <w:tab w:val="right" w:leader="dot" w:pos="9060"/>
            </w:tabs>
            <w:spacing w:after="0" w:line="240" w:lineRule="auto"/>
            <w:rPr>
              <w:rFonts w:eastAsiaTheme="minorEastAsia"/>
              <w:noProof/>
              <w:lang w:val="sr-Latn-RS" w:eastAsia="sr-Latn-RS"/>
            </w:rPr>
          </w:pPr>
          <w:hyperlink w:anchor="_Toc5308778" w:history="1">
            <w:r w:rsidR="00E82125" w:rsidRPr="002F1C78">
              <w:rPr>
                <w:rStyle w:val="Hyperlink"/>
                <w:noProof/>
              </w:rPr>
              <w:t>4</w:t>
            </w:r>
            <w:r w:rsidR="00E82125">
              <w:rPr>
                <w:rFonts w:eastAsiaTheme="minorEastAsia"/>
                <w:noProof/>
                <w:lang w:val="sr-Latn-RS" w:eastAsia="sr-Latn-RS"/>
              </w:rPr>
              <w:tab/>
            </w:r>
            <w:r w:rsidR="00E82125" w:rsidRPr="002F1C78">
              <w:rPr>
                <w:rStyle w:val="Hyperlink"/>
                <w:noProof/>
              </w:rPr>
              <w:t>Implementation of environmental assessments in the Mediterranean</w:t>
            </w:r>
            <w:r w:rsidR="00E82125">
              <w:rPr>
                <w:noProof/>
                <w:webHidden/>
              </w:rPr>
              <w:tab/>
            </w:r>
            <w:r w:rsidR="00E82125">
              <w:rPr>
                <w:noProof/>
                <w:webHidden/>
              </w:rPr>
              <w:fldChar w:fldCharType="begin"/>
            </w:r>
            <w:r w:rsidR="00E82125">
              <w:rPr>
                <w:noProof/>
                <w:webHidden/>
              </w:rPr>
              <w:instrText xml:space="preserve"> PAGEREF _Toc5308778 \h </w:instrText>
            </w:r>
            <w:r w:rsidR="00E82125">
              <w:rPr>
                <w:noProof/>
                <w:webHidden/>
              </w:rPr>
            </w:r>
            <w:r w:rsidR="00E82125">
              <w:rPr>
                <w:noProof/>
                <w:webHidden/>
              </w:rPr>
              <w:fldChar w:fldCharType="separate"/>
            </w:r>
            <w:r w:rsidR="005A000D">
              <w:rPr>
                <w:noProof/>
                <w:webHidden/>
              </w:rPr>
              <w:t>8</w:t>
            </w:r>
            <w:r w:rsidR="00E82125">
              <w:rPr>
                <w:noProof/>
                <w:webHidden/>
              </w:rPr>
              <w:fldChar w:fldCharType="end"/>
            </w:r>
          </w:hyperlink>
        </w:p>
        <w:p w14:paraId="0753A78D" w14:textId="6DD0A03B" w:rsidR="00E82125" w:rsidRDefault="002C2694" w:rsidP="00E82125">
          <w:pPr>
            <w:pStyle w:val="TOC1"/>
            <w:tabs>
              <w:tab w:val="left" w:pos="440"/>
              <w:tab w:val="right" w:leader="dot" w:pos="9060"/>
            </w:tabs>
            <w:spacing w:after="0" w:line="240" w:lineRule="auto"/>
            <w:rPr>
              <w:rFonts w:eastAsiaTheme="minorEastAsia"/>
              <w:noProof/>
              <w:lang w:val="sr-Latn-RS" w:eastAsia="sr-Latn-RS"/>
            </w:rPr>
          </w:pPr>
          <w:hyperlink w:anchor="_Toc5308779" w:history="1">
            <w:r w:rsidR="00E82125" w:rsidRPr="002F1C78">
              <w:rPr>
                <w:rStyle w:val="Hyperlink"/>
                <w:noProof/>
              </w:rPr>
              <w:t>5</w:t>
            </w:r>
            <w:r w:rsidR="00E82125">
              <w:rPr>
                <w:rFonts w:eastAsiaTheme="minorEastAsia"/>
                <w:noProof/>
                <w:lang w:val="sr-Latn-RS" w:eastAsia="sr-Latn-RS"/>
              </w:rPr>
              <w:tab/>
            </w:r>
            <w:r w:rsidR="00E82125" w:rsidRPr="002F1C78">
              <w:rPr>
                <w:rStyle w:val="Hyperlink"/>
                <w:noProof/>
              </w:rPr>
              <w:t>Transboundary environmental assessments: tools to improve cooperation and contribute to sustainable development in the Mediterranean</w:t>
            </w:r>
            <w:r w:rsidR="00E82125">
              <w:rPr>
                <w:noProof/>
                <w:webHidden/>
              </w:rPr>
              <w:tab/>
            </w:r>
            <w:r w:rsidR="00E82125">
              <w:rPr>
                <w:noProof/>
                <w:webHidden/>
              </w:rPr>
              <w:fldChar w:fldCharType="begin"/>
            </w:r>
            <w:r w:rsidR="00E82125">
              <w:rPr>
                <w:noProof/>
                <w:webHidden/>
              </w:rPr>
              <w:instrText xml:space="preserve"> PAGEREF _Toc5308779 \h </w:instrText>
            </w:r>
            <w:r w:rsidR="00E82125">
              <w:rPr>
                <w:noProof/>
                <w:webHidden/>
              </w:rPr>
            </w:r>
            <w:r w:rsidR="00E82125">
              <w:rPr>
                <w:noProof/>
                <w:webHidden/>
              </w:rPr>
              <w:fldChar w:fldCharType="separate"/>
            </w:r>
            <w:r w:rsidR="005A000D">
              <w:rPr>
                <w:noProof/>
                <w:webHidden/>
              </w:rPr>
              <w:t>11</w:t>
            </w:r>
            <w:r w:rsidR="00E82125">
              <w:rPr>
                <w:noProof/>
                <w:webHidden/>
              </w:rPr>
              <w:fldChar w:fldCharType="end"/>
            </w:r>
          </w:hyperlink>
        </w:p>
        <w:p w14:paraId="2F4F7E6D" w14:textId="4EF77972" w:rsidR="00E82125" w:rsidRDefault="002C2694" w:rsidP="00E82125">
          <w:pPr>
            <w:pStyle w:val="TOC1"/>
            <w:tabs>
              <w:tab w:val="left" w:pos="440"/>
              <w:tab w:val="right" w:leader="dot" w:pos="9060"/>
            </w:tabs>
            <w:spacing w:after="0" w:line="240" w:lineRule="auto"/>
            <w:rPr>
              <w:rFonts w:eastAsiaTheme="minorEastAsia"/>
              <w:noProof/>
              <w:lang w:val="sr-Latn-RS" w:eastAsia="sr-Latn-RS"/>
            </w:rPr>
          </w:pPr>
          <w:hyperlink w:anchor="_Toc5308780" w:history="1">
            <w:r w:rsidR="00E82125" w:rsidRPr="002F1C78">
              <w:rPr>
                <w:rStyle w:val="Hyperlink"/>
                <w:noProof/>
              </w:rPr>
              <w:t>6</w:t>
            </w:r>
            <w:r w:rsidR="00E82125">
              <w:rPr>
                <w:rFonts w:eastAsiaTheme="minorEastAsia"/>
                <w:noProof/>
                <w:lang w:val="sr-Latn-RS" w:eastAsia="sr-Latn-RS"/>
              </w:rPr>
              <w:tab/>
            </w:r>
            <w:r w:rsidR="00E82125" w:rsidRPr="002F1C78">
              <w:rPr>
                <w:rStyle w:val="Hyperlink"/>
                <w:noProof/>
              </w:rPr>
              <w:t>Guidelines for carrying out transboundary environmental assessments in the Mediterranean</w:t>
            </w:r>
            <w:r w:rsidR="00E82125">
              <w:rPr>
                <w:noProof/>
                <w:webHidden/>
              </w:rPr>
              <w:tab/>
            </w:r>
            <w:r w:rsidR="00E82125">
              <w:rPr>
                <w:noProof/>
                <w:webHidden/>
              </w:rPr>
              <w:fldChar w:fldCharType="begin"/>
            </w:r>
            <w:r w:rsidR="00E82125">
              <w:rPr>
                <w:noProof/>
                <w:webHidden/>
              </w:rPr>
              <w:instrText xml:space="preserve"> PAGEREF _Toc5308780 \h </w:instrText>
            </w:r>
            <w:r w:rsidR="00E82125">
              <w:rPr>
                <w:noProof/>
                <w:webHidden/>
              </w:rPr>
            </w:r>
            <w:r w:rsidR="00E82125">
              <w:rPr>
                <w:noProof/>
                <w:webHidden/>
              </w:rPr>
              <w:fldChar w:fldCharType="separate"/>
            </w:r>
            <w:r w:rsidR="005A000D">
              <w:rPr>
                <w:noProof/>
                <w:webHidden/>
              </w:rPr>
              <w:t>13</w:t>
            </w:r>
            <w:r w:rsidR="00E82125">
              <w:rPr>
                <w:noProof/>
                <w:webHidden/>
              </w:rPr>
              <w:fldChar w:fldCharType="end"/>
            </w:r>
          </w:hyperlink>
        </w:p>
        <w:p w14:paraId="17B1E9E7" w14:textId="6097F45B" w:rsidR="00E82125" w:rsidRDefault="002C2694" w:rsidP="00E82125">
          <w:pPr>
            <w:pStyle w:val="TOC2"/>
            <w:tabs>
              <w:tab w:val="left" w:pos="880"/>
              <w:tab w:val="right" w:leader="dot" w:pos="9060"/>
            </w:tabs>
            <w:spacing w:after="0" w:line="240" w:lineRule="auto"/>
            <w:rPr>
              <w:rFonts w:eastAsiaTheme="minorEastAsia"/>
              <w:noProof/>
              <w:lang w:val="sr-Latn-RS" w:eastAsia="sr-Latn-RS"/>
            </w:rPr>
          </w:pPr>
          <w:hyperlink w:anchor="_Toc5308781" w:history="1">
            <w:r w:rsidR="00E82125" w:rsidRPr="002F1C78">
              <w:rPr>
                <w:rStyle w:val="Hyperlink"/>
                <w:noProof/>
              </w:rPr>
              <w:t>6.1</w:t>
            </w:r>
            <w:r w:rsidR="00E82125">
              <w:rPr>
                <w:rFonts w:eastAsiaTheme="minorEastAsia"/>
                <w:noProof/>
                <w:lang w:val="sr-Latn-RS" w:eastAsia="sr-Latn-RS"/>
              </w:rPr>
              <w:tab/>
            </w:r>
            <w:r w:rsidR="00E82125" w:rsidRPr="002F1C78">
              <w:rPr>
                <w:rStyle w:val="Hyperlink"/>
                <w:noProof/>
              </w:rPr>
              <w:t>General arrangements for cooperation in transboundary assessments</w:t>
            </w:r>
            <w:r w:rsidR="00E82125">
              <w:rPr>
                <w:noProof/>
                <w:webHidden/>
              </w:rPr>
              <w:tab/>
            </w:r>
            <w:r w:rsidR="00E82125">
              <w:rPr>
                <w:noProof/>
                <w:webHidden/>
              </w:rPr>
              <w:fldChar w:fldCharType="begin"/>
            </w:r>
            <w:r w:rsidR="00E82125">
              <w:rPr>
                <w:noProof/>
                <w:webHidden/>
              </w:rPr>
              <w:instrText xml:space="preserve"> PAGEREF _Toc5308781 \h </w:instrText>
            </w:r>
            <w:r w:rsidR="00E82125">
              <w:rPr>
                <w:noProof/>
                <w:webHidden/>
              </w:rPr>
            </w:r>
            <w:r w:rsidR="00E82125">
              <w:rPr>
                <w:noProof/>
                <w:webHidden/>
              </w:rPr>
              <w:fldChar w:fldCharType="separate"/>
            </w:r>
            <w:r w:rsidR="005A000D">
              <w:rPr>
                <w:noProof/>
                <w:webHidden/>
              </w:rPr>
              <w:t>15</w:t>
            </w:r>
            <w:r w:rsidR="00E82125">
              <w:rPr>
                <w:noProof/>
                <w:webHidden/>
              </w:rPr>
              <w:fldChar w:fldCharType="end"/>
            </w:r>
          </w:hyperlink>
        </w:p>
        <w:p w14:paraId="1F66EF47" w14:textId="75A01E1A" w:rsidR="00E82125" w:rsidRDefault="002C2694" w:rsidP="00E82125">
          <w:pPr>
            <w:pStyle w:val="TOC2"/>
            <w:tabs>
              <w:tab w:val="left" w:pos="880"/>
              <w:tab w:val="right" w:leader="dot" w:pos="9060"/>
            </w:tabs>
            <w:spacing w:after="0" w:line="240" w:lineRule="auto"/>
            <w:rPr>
              <w:rFonts w:eastAsiaTheme="minorEastAsia"/>
              <w:noProof/>
              <w:lang w:val="sr-Latn-RS" w:eastAsia="sr-Latn-RS"/>
            </w:rPr>
          </w:pPr>
          <w:hyperlink w:anchor="_Toc5308782" w:history="1">
            <w:r w:rsidR="00E82125" w:rsidRPr="002F1C78">
              <w:rPr>
                <w:rStyle w:val="Hyperlink"/>
                <w:noProof/>
              </w:rPr>
              <w:t>6.2</w:t>
            </w:r>
            <w:r w:rsidR="00E82125">
              <w:rPr>
                <w:rFonts w:eastAsiaTheme="minorEastAsia"/>
                <w:noProof/>
                <w:lang w:val="sr-Latn-RS" w:eastAsia="sr-Latn-RS"/>
              </w:rPr>
              <w:tab/>
            </w:r>
            <w:r w:rsidR="00E82125" w:rsidRPr="002F1C78">
              <w:rPr>
                <w:rStyle w:val="Hyperlink"/>
                <w:noProof/>
              </w:rPr>
              <w:t>Notification procedures</w:t>
            </w:r>
            <w:r w:rsidR="00E82125">
              <w:rPr>
                <w:noProof/>
                <w:webHidden/>
              </w:rPr>
              <w:tab/>
            </w:r>
            <w:r w:rsidR="00E82125">
              <w:rPr>
                <w:noProof/>
                <w:webHidden/>
              </w:rPr>
              <w:fldChar w:fldCharType="begin"/>
            </w:r>
            <w:r w:rsidR="00E82125">
              <w:rPr>
                <w:noProof/>
                <w:webHidden/>
              </w:rPr>
              <w:instrText xml:space="preserve"> PAGEREF _Toc5308782 \h </w:instrText>
            </w:r>
            <w:r w:rsidR="00E82125">
              <w:rPr>
                <w:noProof/>
                <w:webHidden/>
              </w:rPr>
            </w:r>
            <w:r w:rsidR="00E82125">
              <w:rPr>
                <w:noProof/>
                <w:webHidden/>
              </w:rPr>
              <w:fldChar w:fldCharType="separate"/>
            </w:r>
            <w:r w:rsidR="005A000D">
              <w:rPr>
                <w:noProof/>
                <w:webHidden/>
              </w:rPr>
              <w:t>16</w:t>
            </w:r>
            <w:r w:rsidR="00E82125">
              <w:rPr>
                <w:noProof/>
                <w:webHidden/>
              </w:rPr>
              <w:fldChar w:fldCharType="end"/>
            </w:r>
          </w:hyperlink>
        </w:p>
        <w:p w14:paraId="4AF63EA6" w14:textId="63B4819A" w:rsidR="00E82125" w:rsidRDefault="002C2694" w:rsidP="00E82125">
          <w:pPr>
            <w:pStyle w:val="TOC2"/>
            <w:tabs>
              <w:tab w:val="left" w:pos="880"/>
              <w:tab w:val="right" w:leader="dot" w:pos="9060"/>
            </w:tabs>
            <w:spacing w:after="0" w:line="240" w:lineRule="auto"/>
            <w:rPr>
              <w:rFonts w:eastAsiaTheme="minorEastAsia"/>
              <w:noProof/>
              <w:lang w:val="sr-Latn-RS" w:eastAsia="sr-Latn-RS"/>
            </w:rPr>
          </w:pPr>
          <w:hyperlink w:anchor="_Toc5308783" w:history="1">
            <w:r w:rsidR="00E82125" w:rsidRPr="002F1C78">
              <w:rPr>
                <w:rStyle w:val="Hyperlink"/>
                <w:noProof/>
              </w:rPr>
              <w:t>6.3</w:t>
            </w:r>
            <w:r w:rsidR="00E82125">
              <w:rPr>
                <w:rFonts w:eastAsiaTheme="minorEastAsia"/>
                <w:noProof/>
                <w:lang w:val="sr-Latn-RS" w:eastAsia="sr-Latn-RS"/>
              </w:rPr>
              <w:tab/>
            </w:r>
            <w:r w:rsidR="00E82125" w:rsidRPr="002F1C78">
              <w:rPr>
                <w:rStyle w:val="Hyperlink"/>
                <w:noProof/>
              </w:rPr>
              <w:t>Exchange of information</w:t>
            </w:r>
            <w:r w:rsidR="00E82125">
              <w:rPr>
                <w:noProof/>
                <w:webHidden/>
              </w:rPr>
              <w:tab/>
            </w:r>
            <w:r w:rsidR="00E82125">
              <w:rPr>
                <w:noProof/>
                <w:webHidden/>
              </w:rPr>
              <w:fldChar w:fldCharType="begin"/>
            </w:r>
            <w:r w:rsidR="00E82125">
              <w:rPr>
                <w:noProof/>
                <w:webHidden/>
              </w:rPr>
              <w:instrText xml:space="preserve"> PAGEREF _Toc5308783 \h </w:instrText>
            </w:r>
            <w:r w:rsidR="00E82125">
              <w:rPr>
                <w:noProof/>
                <w:webHidden/>
              </w:rPr>
            </w:r>
            <w:r w:rsidR="00E82125">
              <w:rPr>
                <w:noProof/>
                <w:webHidden/>
              </w:rPr>
              <w:fldChar w:fldCharType="separate"/>
            </w:r>
            <w:r w:rsidR="005A000D">
              <w:rPr>
                <w:noProof/>
                <w:webHidden/>
              </w:rPr>
              <w:t>18</w:t>
            </w:r>
            <w:r w:rsidR="00E82125">
              <w:rPr>
                <w:noProof/>
                <w:webHidden/>
              </w:rPr>
              <w:fldChar w:fldCharType="end"/>
            </w:r>
          </w:hyperlink>
        </w:p>
        <w:p w14:paraId="63CE478F" w14:textId="1CA635C8" w:rsidR="00E82125" w:rsidRDefault="002C2694" w:rsidP="00E82125">
          <w:pPr>
            <w:pStyle w:val="TOC2"/>
            <w:tabs>
              <w:tab w:val="left" w:pos="880"/>
              <w:tab w:val="right" w:leader="dot" w:pos="9060"/>
            </w:tabs>
            <w:spacing w:after="0" w:line="240" w:lineRule="auto"/>
            <w:rPr>
              <w:rFonts w:eastAsiaTheme="minorEastAsia"/>
              <w:noProof/>
              <w:lang w:val="sr-Latn-RS" w:eastAsia="sr-Latn-RS"/>
            </w:rPr>
          </w:pPr>
          <w:hyperlink w:anchor="_Toc5308784" w:history="1">
            <w:r w:rsidR="00E82125" w:rsidRPr="002F1C78">
              <w:rPr>
                <w:rStyle w:val="Hyperlink"/>
                <w:rFonts w:cstheme="minorHAnsi"/>
                <w:noProof/>
              </w:rPr>
              <w:t>6.4</w:t>
            </w:r>
            <w:r w:rsidR="00E82125">
              <w:rPr>
                <w:rFonts w:eastAsiaTheme="minorEastAsia"/>
                <w:noProof/>
                <w:lang w:val="sr-Latn-RS" w:eastAsia="sr-Latn-RS"/>
              </w:rPr>
              <w:tab/>
            </w:r>
            <w:r w:rsidR="00E82125" w:rsidRPr="002F1C78">
              <w:rPr>
                <w:rStyle w:val="Hyperlink"/>
                <w:rFonts w:cstheme="minorHAnsi"/>
                <w:noProof/>
              </w:rPr>
              <w:t>Consultations</w:t>
            </w:r>
            <w:r w:rsidR="00E82125">
              <w:rPr>
                <w:noProof/>
                <w:webHidden/>
              </w:rPr>
              <w:tab/>
            </w:r>
            <w:r w:rsidR="00E82125">
              <w:rPr>
                <w:noProof/>
                <w:webHidden/>
              </w:rPr>
              <w:fldChar w:fldCharType="begin"/>
            </w:r>
            <w:r w:rsidR="00E82125">
              <w:rPr>
                <w:noProof/>
                <w:webHidden/>
              </w:rPr>
              <w:instrText xml:space="preserve"> PAGEREF _Toc5308784 \h </w:instrText>
            </w:r>
            <w:r w:rsidR="00E82125">
              <w:rPr>
                <w:noProof/>
                <w:webHidden/>
              </w:rPr>
            </w:r>
            <w:r w:rsidR="00E82125">
              <w:rPr>
                <w:noProof/>
                <w:webHidden/>
              </w:rPr>
              <w:fldChar w:fldCharType="separate"/>
            </w:r>
            <w:r w:rsidR="005A000D">
              <w:rPr>
                <w:noProof/>
                <w:webHidden/>
              </w:rPr>
              <w:t>21</w:t>
            </w:r>
            <w:r w:rsidR="00E82125">
              <w:rPr>
                <w:noProof/>
                <w:webHidden/>
              </w:rPr>
              <w:fldChar w:fldCharType="end"/>
            </w:r>
          </w:hyperlink>
        </w:p>
        <w:p w14:paraId="7B9C304F" w14:textId="0FFCC908" w:rsidR="00E82125" w:rsidRDefault="002C2694" w:rsidP="00E82125">
          <w:pPr>
            <w:pStyle w:val="TOC1"/>
            <w:tabs>
              <w:tab w:val="left" w:pos="440"/>
              <w:tab w:val="right" w:leader="dot" w:pos="9060"/>
            </w:tabs>
            <w:spacing w:after="0" w:line="240" w:lineRule="auto"/>
            <w:rPr>
              <w:rFonts w:eastAsiaTheme="minorEastAsia"/>
              <w:noProof/>
              <w:lang w:val="sr-Latn-RS" w:eastAsia="sr-Latn-RS"/>
            </w:rPr>
          </w:pPr>
          <w:hyperlink w:anchor="_Toc5308785" w:history="1">
            <w:r w:rsidR="00E82125" w:rsidRPr="002F1C78">
              <w:rPr>
                <w:rStyle w:val="Hyperlink"/>
                <w:noProof/>
              </w:rPr>
              <w:t>7</w:t>
            </w:r>
            <w:r w:rsidR="00E82125">
              <w:rPr>
                <w:rFonts w:eastAsiaTheme="minorEastAsia"/>
                <w:noProof/>
                <w:lang w:val="sr-Latn-RS" w:eastAsia="sr-Latn-RS"/>
              </w:rPr>
              <w:tab/>
            </w:r>
            <w:r w:rsidR="00E82125" w:rsidRPr="002F1C78">
              <w:rPr>
                <w:rStyle w:val="Hyperlink"/>
                <w:noProof/>
              </w:rPr>
              <w:t>Needs and ways for strengthening transboundary procedures in EIAs and SEAs within the Barcelona Convention area</w:t>
            </w:r>
            <w:r w:rsidR="00E82125">
              <w:rPr>
                <w:noProof/>
                <w:webHidden/>
              </w:rPr>
              <w:tab/>
            </w:r>
            <w:r w:rsidR="00E82125">
              <w:rPr>
                <w:noProof/>
                <w:webHidden/>
              </w:rPr>
              <w:fldChar w:fldCharType="begin"/>
            </w:r>
            <w:r w:rsidR="00E82125">
              <w:rPr>
                <w:noProof/>
                <w:webHidden/>
              </w:rPr>
              <w:instrText xml:space="preserve"> PAGEREF _Toc5308785 \h </w:instrText>
            </w:r>
            <w:r w:rsidR="00E82125">
              <w:rPr>
                <w:noProof/>
                <w:webHidden/>
              </w:rPr>
            </w:r>
            <w:r w:rsidR="00E82125">
              <w:rPr>
                <w:noProof/>
                <w:webHidden/>
              </w:rPr>
              <w:fldChar w:fldCharType="separate"/>
            </w:r>
            <w:r w:rsidR="005A000D">
              <w:rPr>
                <w:noProof/>
                <w:webHidden/>
              </w:rPr>
              <w:t>23</w:t>
            </w:r>
            <w:r w:rsidR="00E82125">
              <w:rPr>
                <w:noProof/>
                <w:webHidden/>
              </w:rPr>
              <w:fldChar w:fldCharType="end"/>
            </w:r>
          </w:hyperlink>
        </w:p>
        <w:p w14:paraId="31F62E1A" w14:textId="26726606" w:rsidR="00E82125" w:rsidRDefault="002C2694" w:rsidP="00E82125">
          <w:pPr>
            <w:pStyle w:val="TOC1"/>
            <w:tabs>
              <w:tab w:val="right" w:leader="dot" w:pos="9060"/>
            </w:tabs>
            <w:spacing w:after="0" w:line="240" w:lineRule="auto"/>
            <w:rPr>
              <w:rFonts w:eastAsiaTheme="minorEastAsia"/>
              <w:noProof/>
              <w:lang w:val="sr-Latn-RS" w:eastAsia="sr-Latn-RS"/>
            </w:rPr>
          </w:pPr>
          <w:hyperlink w:anchor="_Toc5308786" w:history="1">
            <w:r w:rsidR="00E82125" w:rsidRPr="002F1C78">
              <w:rPr>
                <w:rStyle w:val="Hyperlink"/>
                <w:noProof/>
              </w:rPr>
              <w:t>Annex 1: Overview of UNECE and EU provisions on environmental assessments in a transboundary context</w:t>
            </w:r>
            <w:r w:rsidR="00E82125">
              <w:rPr>
                <w:noProof/>
                <w:webHidden/>
              </w:rPr>
              <w:tab/>
            </w:r>
            <w:r w:rsidR="00E82125">
              <w:rPr>
                <w:noProof/>
                <w:webHidden/>
              </w:rPr>
              <w:fldChar w:fldCharType="begin"/>
            </w:r>
            <w:r w:rsidR="00E82125">
              <w:rPr>
                <w:noProof/>
                <w:webHidden/>
              </w:rPr>
              <w:instrText xml:space="preserve"> PAGEREF _Toc5308786 \h </w:instrText>
            </w:r>
            <w:r w:rsidR="00E82125">
              <w:rPr>
                <w:noProof/>
                <w:webHidden/>
              </w:rPr>
            </w:r>
            <w:r w:rsidR="00E82125">
              <w:rPr>
                <w:noProof/>
                <w:webHidden/>
              </w:rPr>
              <w:fldChar w:fldCharType="separate"/>
            </w:r>
            <w:r w:rsidR="005A000D">
              <w:rPr>
                <w:noProof/>
                <w:webHidden/>
              </w:rPr>
              <w:t>25</w:t>
            </w:r>
            <w:r w:rsidR="00E82125">
              <w:rPr>
                <w:noProof/>
                <w:webHidden/>
              </w:rPr>
              <w:fldChar w:fldCharType="end"/>
            </w:r>
          </w:hyperlink>
        </w:p>
        <w:p w14:paraId="4C536865" w14:textId="33FADD8C" w:rsidR="00E82125" w:rsidRDefault="002C2694">
          <w:pPr>
            <w:pStyle w:val="TOC1"/>
            <w:tabs>
              <w:tab w:val="right" w:leader="dot" w:pos="9060"/>
            </w:tabs>
            <w:rPr>
              <w:rFonts w:eastAsiaTheme="minorEastAsia"/>
              <w:noProof/>
              <w:lang w:val="sr-Latn-RS" w:eastAsia="sr-Latn-RS"/>
            </w:rPr>
          </w:pPr>
          <w:hyperlink w:anchor="_Toc5308787" w:history="1">
            <w:r w:rsidR="00E82125" w:rsidRPr="002F1C78">
              <w:rPr>
                <w:rStyle w:val="Hyperlink"/>
                <w:noProof/>
              </w:rPr>
              <w:t>Annex 2: References</w:t>
            </w:r>
            <w:r w:rsidR="00E82125">
              <w:rPr>
                <w:noProof/>
                <w:webHidden/>
              </w:rPr>
              <w:tab/>
            </w:r>
            <w:r w:rsidR="00E82125">
              <w:rPr>
                <w:noProof/>
                <w:webHidden/>
              </w:rPr>
              <w:fldChar w:fldCharType="begin"/>
            </w:r>
            <w:r w:rsidR="00E82125">
              <w:rPr>
                <w:noProof/>
                <w:webHidden/>
              </w:rPr>
              <w:instrText xml:space="preserve"> PAGEREF _Toc5308787 \h </w:instrText>
            </w:r>
            <w:r w:rsidR="00E82125">
              <w:rPr>
                <w:noProof/>
                <w:webHidden/>
              </w:rPr>
            </w:r>
            <w:r w:rsidR="00E82125">
              <w:rPr>
                <w:noProof/>
                <w:webHidden/>
              </w:rPr>
              <w:fldChar w:fldCharType="separate"/>
            </w:r>
            <w:r w:rsidR="005A000D">
              <w:rPr>
                <w:noProof/>
                <w:webHidden/>
              </w:rPr>
              <w:t>29</w:t>
            </w:r>
            <w:r w:rsidR="00E82125">
              <w:rPr>
                <w:noProof/>
                <w:webHidden/>
              </w:rPr>
              <w:fldChar w:fldCharType="end"/>
            </w:r>
          </w:hyperlink>
        </w:p>
        <w:p w14:paraId="23EF60F1" w14:textId="77777777" w:rsidR="007F2378" w:rsidRDefault="00215A3E">
          <w:r>
            <w:rPr>
              <w:b/>
              <w:bCs/>
              <w:noProof/>
            </w:rPr>
            <w:fldChar w:fldCharType="end"/>
          </w:r>
        </w:p>
      </w:sdtContent>
    </w:sdt>
    <w:p w14:paraId="3166C81B" w14:textId="77777777" w:rsidR="004B4B25" w:rsidRDefault="00AD2941" w:rsidP="00CF0EAA">
      <w:pPr>
        <w:rPr>
          <w:sz w:val="24"/>
          <w:szCs w:val="24"/>
        </w:rPr>
      </w:pPr>
      <w:r w:rsidRPr="00CF0EAA">
        <w:rPr>
          <w:sz w:val="24"/>
          <w:szCs w:val="24"/>
        </w:rPr>
        <w:t xml:space="preserve">  </w:t>
      </w:r>
      <w:r w:rsidR="004B4B25" w:rsidRPr="00CF0EAA">
        <w:rPr>
          <w:sz w:val="24"/>
          <w:szCs w:val="24"/>
        </w:rPr>
        <w:t xml:space="preserve"> </w:t>
      </w:r>
    </w:p>
    <w:p w14:paraId="4F178362" w14:textId="77777777" w:rsidR="005D5A77" w:rsidRPr="00CF0EAA" w:rsidRDefault="005D5A77" w:rsidP="00CF0EAA">
      <w:pPr>
        <w:rPr>
          <w:sz w:val="24"/>
          <w:szCs w:val="24"/>
        </w:rPr>
      </w:pPr>
    </w:p>
    <w:p w14:paraId="54181CB1" w14:textId="77777777" w:rsidR="004E3E11" w:rsidRPr="00615099" w:rsidRDefault="004E3E11" w:rsidP="004E3E11"/>
    <w:p w14:paraId="3C11A731" w14:textId="77777777" w:rsidR="005D5A77" w:rsidRDefault="005D5A77">
      <w:pPr>
        <w:rPr>
          <w:rFonts w:asciiTheme="majorHAnsi" w:eastAsiaTheme="majorEastAsia" w:hAnsiTheme="majorHAnsi" w:cstheme="majorBidi"/>
          <w:b/>
          <w:color w:val="000000" w:themeColor="text1"/>
          <w:sz w:val="26"/>
          <w:szCs w:val="32"/>
        </w:rPr>
      </w:pPr>
      <w:r>
        <w:br w:type="page"/>
      </w:r>
    </w:p>
    <w:p w14:paraId="0C47C411" w14:textId="77777777" w:rsidR="005D5A77" w:rsidRDefault="004E3E11" w:rsidP="00A6304C">
      <w:pPr>
        <w:pStyle w:val="Heading1"/>
        <w:spacing w:line="240" w:lineRule="auto"/>
      </w:pPr>
      <w:bookmarkStart w:id="2" w:name="_Toc5308772"/>
      <w:r w:rsidRPr="008652FC">
        <w:lastRenderedPageBreak/>
        <w:t>Context, the need for and purpose of the Guid</w:t>
      </w:r>
      <w:r w:rsidR="00B80007" w:rsidRPr="008652FC">
        <w:t>elines</w:t>
      </w:r>
      <w:bookmarkEnd w:id="2"/>
    </w:p>
    <w:p w14:paraId="38397BAB" w14:textId="77777777" w:rsidR="006117A2" w:rsidRDefault="006117A2" w:rsidP="007F2378">
      <w:pPr>
        <w:spacing w:after="0" w:line="240" w:lineRule="auto"/>
        <w:rPr>
          <w:color w:val="000000" w:themeColor="text1"/>
        </w:rPr>
      </w:pPr>
    </w:p>
    <w:p w14:paraId="104A3181" w14:textId="77777777" w:rsidR="00A446E3" w:rsidRPr="00FA4806" w:rsidRDefault="007F2378" w:rsidP="007F2378">
      <w:pPr>
        <w:spacing w:after="0" w:line="240" w:lineRule="auto"/>
        <w:rPr>
          <w:color w:val="000000" w:themeColor="text1"/>
        </w:rPr>
      </w:pPr>
      <w:r w:rsidRPr="00FA4806">
        <w:rPr>
          <w:color w:val="000000" w:themeColor="text1"/>
        </w:rPr>
        <w:t>Environmental assessments are widely used across the Mediterranean</w:t>
      </w:r>
      <w:r w:rsidR="009842DE" w:rsidRPr="00FA4806">
        <w:rPr>
          <w:color w:val="000000" w:themeColor="text1"/>
        </w:rPr>
        <w:t xml:space="preserve">, driven by various </w:t>
      </w:r>
      <w:r w:rsidR="00C03E1D" w:rsidRPr="00FA4806">
        <w:rPr>
          <w:color w:val="000000" w:themeColor="text1"/>
        </w:rPr>
        <w:t>regulatory</w:t>
      </w:r>
      <w:r w:rsidR="00CE7AAD">
        <w:rPr>
          <w:color w:val="000000" w:themeColor="text1"/>
        </w:rPr>
        <w:t xml:space="preserve"> and policy </w:t>
      </w:r>
      <w:r w:rsidR="009842DE" w:rsidRPr="00FA4806">
        <w:rPr>
          <w:color w:val="000000" w:themeColor="text1"/>
        </w:rPr>
        <w:t xml:space="preserve">frameworks. </w:t>
      </w:r>
      <w:r w:rsidRPr="00FA4806">
        <w:rPr>
          <w:color w:val="000000" w:themeColor="text1"/>
        </w:rPr>
        <w:t xml:space="preserve">Within </w:t>
      </w:r>
      <w:r w:rsidR="004449C7">
        <w:rPr>
          <w:color w:val="000000" w:themeColor="text1"/>
        </w:rPr>
        <w:t>the UN Environment</w:t>
      </w:r>
      <w:r w:rsidR="0030148B">
        <w:rPr>
          <w:color w:val="000000" w:themeColor="text1"/>
        </w:rPr>
        <w:t>/</w:t>
      </w:r>
      <w:r w:rsidR="004449C7">
        <w:rPr>
          <w:color w:val="000000" w:themeColor="text1"/>
        </w:rPr>
        <w:t xml:space="preserve"> MAP - </w:t>
      </w:r>
      <w:r w:rsidRPr="00FA4806">
        <w:rPr>
          <w:color w:val="000000" w:themeColor="text1"/>
        </w:rPr>
        <w:t>Barcelona Convention, the environmental assessments are seen as the frontline tools for the implementation of Integrated Coastal Zone Management (ICZM) principles and the achievement of Good Environmental Status (GES) and sustainable development</w:t>
      </w:r>
      <w:r w:rsidR="00C03E1D" w:rsidRPr="00FA4806">
        <w:rPr>
          <w:rStyle w:val="FootnoteReference"/>
          <w:color w:val="000000" w:themeColor="text1"/>
        </w:rPr>
        <w:footnoteReference w:id="1"/>
      </w:r>
      <w:r w:rsidRPr="00FA4806">
        <w:rPr>
          <w:color w:val="000000" w:themeColor="text1"/>
        </w:rPr>
        <w:t>. This refers to both strategic environmental assessments (SEA) conducted at the level of plans</w:t>
      </w:r>
      <w:r w:rsidR="00C03E1D" w:rsidRPr="00FA4806">
        <w:rPr>
          <w:color w:val="000000" w:themeColor="text1"/>
        </w:rPr>
        <w:t xml:space="preserve"> and </w:t>
      </w:r>
      <w:r w:rsidRPr="00FA4806">
        <w:rPr>
          <w:color w:val="000000" w:themeColor="text1"/>
        </w:rPr>
        <w:t xml:space="preserve">programmes </w:t>
      </w:r>
      <w:r w:rsidR="00C03E1D" w:rsidRPr="00FA4806">
        <w:rPr>
          <w:color w:val="000000" w:themeColor="text1"/>
        </w:rPr>
        <w:t xml:space="preserve">(and, where possible, for policies and legislation), </w:t>
      </w:r>
      <w:r w:rsidRPr="00FA4806">
        <w:rPr>
          <w:color w:val="000000" w:themeColor="text1"/>
        </w:rPr>
        <w:t xml:space="preserve">and to environmental impact assessment (EIA) procedures </w:t>
      </w:r>
      <w:r w:rsidR="00C03E1D" w:rsidRPr="00FA4806">
        <w:rPr>
          <w:color w:val="000000" w:themeColor="text1"/>
        </w:rPr>
        <w:t xml:space="preserve">conducted </w:t>
      </w:r>
      <w:r w:rsidR="00A446E3" w:rsidRPr="00FA4806">
        <w:rPr>
          <w:color w:val="000000" w:themeColor="text1"/>
        </w:rPr>
        <w:t xml:space="preserve">for </w:t>
      </w:r>
      <w:r w:rsidR="00C03E1D" w:rsidRPr="00FA4806">
        <w:rPr>
          <w:color w:val="000000" w:themeColor="text1"/>
        </w:rPr>
        <w:t xml:space="preserve">individual projects and activities. </w:t>
      </w:r>
    </w:p>
    <w:p w14:paraId="0959E84D" w14:textId="77777777" w:rsidR="00A446E3" w:rsidRPr="00FA4806" w:rsidRDefault="00A446E3" w:rsidP="007F2378">
      <w:pPr>
        <w:spacing w:after="0" w:line="240" w:lineRule="auto"/>
        <w:rPr>
          <w:color w:val="000000" w:themeColor="text1"/>
        </w:rPr>
      </w:pPr>
    </w:p>
    <w:p w14:paraId="59317B8F" w14:textId="77777777" w:rsidR="007F2378" w:rsidRPr="00FA4806" w:rsidRDefault="00A446E3" w:rsidP="007F2378">
      <w:pPr>
        <w:spacing w:after="0" w:line="240" w:lineRule="auto"/>
        <w:rPr>
          <w:color w:val="000000" w:themeColor="text1"/>
        </w:rPr>
      </w:pPr>
      <w:r w:rsidRPr="00FA4806">
        <w:rPr>
          <w:color w:val="000000" w:themeColor="text1"/>
        </w:rPr>
        <w:t xml:space="preserve">When </w:t>
      </w:r>
      <w:r w:rsidR="00977E1F" w:rsidRPr="00FA4806">
        <w:rPr>
          <w:color w:val="000000" w:themeColor="text1"/>
        </w:rPr>
        <w:t xml:space="preserve">plans, programmes or projects are likely to </w:t>
      </w:r>
      <w:r w:rsidR="00741C9B" w:rsidRPr="00FA4806">
        <w:rPr>
          <w:color w:val="000000" w:themeColor="text1"/>
        </w:rPr>
        <w:t xml:space="preserve">have </w:t>
      </w:r>
      <w:r w:rsidR="00977E1F" w:rsidRPr="00FA4806">
        <w:rPr>
          <w:color w:val="000000" w:themeColor="text1"/>
        </w:rPr>
        <w:t xml:space="preserve">cross-border impacts, </w:t>
      </w:r>
      <w:r w:rsidR="00095A37" w:rsidRPr="00FA4806">
        <w:rPr>
          <w:color w:val="000000" w:themeColor="text1"/>
        </w:rPr>
        <w:t>multil</w:t>
      </w:r>
      <w:r w:rsidR="00741C9B" w:rsidRPr="00FA4806">
        <w:rPr>
          <w:color w:val="000000" w:themeColor="text1"/>
        </w:rPr>
        <w:t xml:space="preserve">ateral environmental agreements, </w:t>
      </w:r>
      <w:r w:rsidR="00095A37" w:rsidRPr="00FA4806">
        <w:rPr>
          <w:color w:val="000000" w:themeColor="text1"/>
        </w:rPr>
        <w:t xml:space="preserve">such as the </w:t>
      </w:r>
      <w:r w:rsidR="00741C9B" w:rsidRPr="00FA4806">
        <w:rPr>
          <w:color w:val="000000" w:themeColor="text1"/>
        </w:rPr>
        <w:t xml:space="preserve">UNECE </w:t>
      </w:r>
      <w:r w:rsidR="00095A37" w:rsidRPr="00FA4806">
        <w:rPr>
          <w:color w:val="000000" w:themeColor="text1"/>
        </w:rPr>
        <w:t>Espoo</w:t>
      </w:r>
      <w:r w:rsidR="00095A37" w:rsidRPr="00FA4806">
        <w:rPr>
          <w:rStyle w:val="FootnoteReference"/>
          <w:color w:val="000000" w:themeColor="text1"/>
        </w:rPr>
        <w:footnoteReference w:id="2"/>
      </w:r>
      <w:r w:rsidR="00095A37" w:rsidRPr="00FA4806">
        <w:rPr>
          <w:color w:val="000000" w:themeColor="text1"/>
        </w:rPr>
        <w:t xml:space="preserve"> and Barcelona Co</w:t>
      </w:r>
      <w:r w:rsidR="00741C9B" w:rsidRPr="00FA4806">
        <w:rPr>
          <w:color w:val="000000" w:themeColor="text1"/>
        </w:rPr>
        <w:t>nvention</w:t>
      </w:r>
      <w:r w:rsidR="00FA4806">
        <w:rPr>
          <w:color w:val="000000" w:themeColor="text1"/>
        </w:rPr>
        <w:t>s</w:t>
      </w:r>
      <w:r w:rsidR="00CE7AAD">
        <w:rPr>
          <w:color w:val="000000" w:themeColor="text1"/>
        </w:rPr>
        <w:t xml:space="preserve">, </w:t>
      </w:r>
      <w:r w:rsidR="00FA4806">
        <w:rPr>
          <w:color w:val="000000" w:themeColor="text1"/>
        </w:rPr>
        <w:t xml:space="preserve">as well as </w:t>
      </w:r>
      <w:r w:rsidR="00095A37" w:rsidRPr="00FA4806">
        <w:rPr>
          <w:color w:val="000000" w:themeColor="text1"/>
        </w:rPr>
        <w:t>the EU legislation</w:t>
      </w:r>
      <w:r w:rsidR="006117A2">
        <w:rPr>
          <w:color w:val="000000" w:themeColor="text1"/>
        </w:rPr>
        <w:t xml:space="preserve">, </w:t>
      </w:r>
      <w:r w:rsidR="00095A37" w:rsidRPr="00FA4806">
        <w:rPr>
          <w:color w:val="000000" w:themeColor="text1"/>
        </w:rPr>
        <w:t xml:space="preserve">call for </w:t>
      </w:r>
      <w:r w:rsidR="009842DE" w:rsidRPr="00FA4806">
        <w:rPr>
          <w:color w:val="000000" w:themeColor="text1"/>
        </w:rPr>
        <w:t>SEA and EIA</w:t>
      </w:r>
      <w:r w:rsidR="00FA4806">
        <w:rPr>
          <w:color w:val="000000" w:themeColor="text1"/>
        </w:rPr>
        <w:t xml:space="preserve"> implementation</w:t>
      </w:r>
      <w:r w:rsidR="009842DE" w:rsidRPr="00FA4806">
        <w:rPr>
          <w:color w:val="000000" w:themeColor="text1"/>
        </w:rPr>
        <w:t xml:space="preserve"> in a transboundary context</w:t>
      </w:r>
      <w:r w:rsidR="00A61E1B" w:rsidRPr="00FA4806">
        <w:rPr>
          <w:color w:val="000000" w:themeColor="text1"/>
        </w:rPr>
        <w:t>. According to</w:t>
      </w:r>
      <w:r w:rsidR="00007882">
        <w:rPr>
          <w:color w:val="000000" w:themeColor="text1"/>
        </w:rPr>
        <w:t xml:space="preserve"> the</w:t>
      </w:r>
      <w:r w:rsidR="00A61E1B" w:rsidRPr="00FA4806">
        <w:rPr>
          <w:color w:val="000000" w:themeColor="text1"/>
        </w:rPr>
        <w:t xml:space="preserve"> Espoo Convention</w:t>
      </w:r>
      <w:r w:rsidR="00741C9B" w:rsidRPr="00FA4806">
        <w:rPr>
          <w:color w:val="000000" w:themeColor="text1"/>
        </w:rPr>
        <w:t xml:space="preserve">, </w:t>
      </w:r>
      <w:r w:rsidR="00A61E1B" w:rsidRPr="00FA4806">
        <w:rPr>
          <w:color w:val="000000" w:themeColor="text1"/>
        </w:rPr>
        <w:t>transboundary impact is defined as ‘</w:t>
      </w:r>
      <w:r w:rsidR="00A61E1B" w:rsidRPr="00FA4806">
        <w:rPr>
          <w:i/>
          <w:color w:val="000000" w:themeColor="text1"/>
        </w:rPr>
        <w:t>any impact, not exclusively of a global nature, within an area of jurisdiction of a Party caused by a proposed activity the physical origin of which is situated wholly or in part within the area under the jurisdiction of another Party</w:t>
      </w:r>
      <w:r w:rsidR="00A61E1B" w:rsidRPr="00FA4806">
        <w:rPr>
          <w:color w:val="000000" w:themeColor="text1"/>
        </w:rPr>
        <w:t>’ (Art</w:t>
      </w:r>
      <w:r w:rsidR="0096273D">
        <w:rPr>
          <w:color w:val="000000" w:themeColor="text1"/>
        </w:rPr>
        <w:t>icle</w:t>
      </w:r>
      <w:r w:rsidR="00A61E1B" w:rsidRPr="00FA4806">
        <w:rPr>
          <w:color w:val="000000" w:themeColor="text1"/>
        </w:rPr>
        <w:t xml:space="preserve"> 1 (viii)). </w:t>
      </w:r>
      <w:r w:rsidR="00007882">
        <w:rPr>
          <w:color w:val="000000" w:themeColor="text1"/>
        </w:rPr>
        <w:t xml:space="preserve">The </w:t>
      </w:r>
      <w:r w:rsidR="00FA4806" w:rsidRPr="00FA4806">
        <w:rPr>
          <w:color w:val="000000" w:themeColor="text1"/>
        </w:rPr>
        <w:t>Barcelona Convention calls for cooperation in assessment procedures for the activities likely ‘</w:t>
      </w:r>
      <w:r w:rsidR="00FA4806" w:rsidRPr="00FA4806">
        <w:rPr>
          <w:i/>
          <w:color w:val="000000" w:themeColor="text1"/>
        </w:rPr>
        <w:t xml:space="preserve">to have a significant adverse effect on the marine environment of other </w:t>
      </w:r>
      <w:r w:rsidR="00FA4806" w:rsidRPr="0064084B">
        <w:rPr>
          <w:i/>
          <w:color w:val="000000" w:themeColor="text1"/>
        </w:rPr>
        <w:t>States or areas beyond the limits of national jurisdiction</w:t>
      </w:r>
      <w:r w:rsidR="0096273D" w:rsidRPr="0064084B">
        <w:rPr>
          <w:i/>
          <w:color w:val="000000" w:themeColor="text1"/>
        </w:rPr>
        <w:t xml:space="preserve">, on the basis of notification, exchange of information </w:t>
      </w:r>
      <w:r w:rsidR="0096273D" w:rsidRPr="00EA25B8">
        <w:rPr>
          <w:i/>
          <w:color w:val="000000" w:themeColor="text1"/>
        </w:rPr>
        <w:t>and consultation</w:t>
      </w:r>
      <w:r w:rsidR="00FA4806" w:rsidRPr="00EA25B8">
        <w:rPr>
          <w:color w:val="000000" w:themeColor="text1"/>
        </w:rPr>
        <w:t>’</w:t>
      </w:r>
      <w:r w:rsidR="0096273D" w:rsidRPr="00EA25B8">
        <w:rPr>
          <w:color w:val="000000" w:themeColor="text1"/>
        </w:rPr>
        <w:t xml:space="preserve"> </w:t>
      </w:r>
      <w:r w:rsidR="0096273D">
        <w:rPr>
          <w:color w:val="000000" w:themeColor="text1"/>
        </w:rPr>
        <w:t>(Article 4.3(d))</w:t>
      </w:r>
      <w:r w:rsidR="00FA4806" w:rsidRPr="00FA4806">
        <w:rPr>
          <w:color w:val="000000" w:themeColor="text1"/>
        </w:rPr>
        <w:t>.</w:t>
      </w:r>
      <w:r w:rsidR="00C03E1D" w:rsidRPr="00FA4806">
        <w:rPr>
          <w:color w:val="000000" w:themeColor="text1"/>
        </w:rPr>
        <w:t xml:space="preserve"> </w:t>
      </w:r>
      <w:r w:rsidR="009842DE" w:rsidRPr="00FA4806">
        <w:rPr>
          <w:color w:val="000000" w:themeColor="text1"/>
        </w:rPr>
        <w:t xml:space="preserve"> </w:t>
      </w:r>
    </w:p>
    <w:p w14:paraId="5A5DEF85" w14:textId="77777777" w:rsidR="007F2378" w:rsidRPr="00FA4806" w:rsidRDefault="007F2378" w:rsidP="007F2378">
      <w:pPr>
        <w:spacing w:after="0" w:line="240" w:lineRule="auto"/>
        <w:rPr>
          <w:color w:val="000000" w:themeColor="text1"/>
        </w:rPr>
      </w:pPr>
    </w:p>
    <w:p w14:paraId="60BAA199" w14:textId="77777777" w:rsidR="005D5A77" w:rsidRPr="00FA4806" w:rsidRDefault="006117A2" w:rsidP="004D6F35">
      <w:pPr>
        <w:spacing w:after="0" w:line="240" w:lineRule="auto"/>
        <w:jc w:val="both"/>
        <w:rPr>
          <w:color w:val="000000" w:themeColor="text1"/>
        </w:rPr>
      </w:pPr>
      <w:r>
        <w:rPr>
          <w:color w:val="000000" w:themeColor="text1"/>
        </w:rPr>
        <w:t>In the Barcelona Convention area, i</w:t>
      </w:r>
      <w:r w:rsidR="009842DE" w:rsidRPr="00FA4806">
        <w:rPr>
          <w:color w:val="000000" w:themeColor="text1"/>
        </w:rPr>
        <w:t>mplementation of environmental assessments</w:t>
      </w:r>
      <w:r>
        <w:rPr>
          <w:color w:val="000000" w:themeColor="text1"/>
        </w:rPr>
        <w:t xml:space="preserve">, including in a </w:t>
      </w:r>
      <w:r w:rsidR="009842DE" w:rsidRPr="00FA4806">
        <w:rPr>
          <w:color w:val="000000" w:themeColor="text1"/>
        </w:rPr>
        <w:t xml:space="preserve">transboundary context, is an obligation stemming </w:t>
      </w:r>
      <w:r w:rsidR="00C03E1D" w:rsidRPr="00FA4806">
        <w:rPr>
          <w:color w:val="000000" w:themeColor="text1"/>
        </w:rPr>
        <w:t>from Article 4 of the Convention (paragraphs 3</w:t>
      </w:r>
      <w:r w:rsidR="00EA25B8">
        <w:rPr>
          <w:color w:val="000000" w:themeColor="text1"/>
        </w:rPr>
        <w:t>(</w:t>
      </w:r>
      <w:r w:rsidR="00C03E1D" w:rsidRPr="00FA4806">
        <w:rPr>
          <w:color w:val="000000" w:themeColor="text1"/>
        </w:rPr>
        <w:t>c</w:t>
      </w:r>
      <w:r w:rsidR="00EA25B8">
        <w:rPr>
          <w:color w:val="000000" w:themeColor="text1"/>
        </w:rPr>
        <w:t>) and</w:t>
      </w:r>
      <w:r w:rsidR="00C03E1D" w:rsidRPr="00FA4806">
        <w:rPr>
          <w:color w:val="000000" w:themeColor="text1"/>
        </w:rPr>
        <w:t xml:space="preserve"> 3</w:t>
      </w:r>
      <w:r w:rsidR="00EA25B8">
        <w:rPr>
          <w:color w:val="000000" w:themeColor="text1"/>
        </w:rPr>
        <w:t>(</w:t>
      </w:r>
      <w:r w:rsidR="00C03E1D" w:rsidRPr="00FA4806">
        <w:rPr>
          <w:color w:val="000000" w:themeColor="text1"/>
        </w:rPr>
        <w:t>d)</w:t>
      </w:r>
      <w:r w:rsidR="00EA25B8">
        <w:rPr>
          <w:color w:val="000000" w:themeColor="text1"/>
        </w:rPr>
        <w:t>)</w:t>
      </w:r>
      <w:r w:rsidR="00C03E1D" w:rsidRPr="00FA4806">
        <w:rPr>
          <w:color w:val="000000" w:themeColor="text1"/>
        </w:rPr>
        <w:t xml:space="preserve"> and Articles 19 and 29 </w:t>
      </w:r>
      <w:r w:rsidR="00741C9B" w:rsidRPr="00FA4806">
        <w:rPr>
          <w:color w:val="000000" w:themeColor="text1"/>
        </w:rPr>
        <w:t xml:space="preserve">of the ICZM Protocol. </w:t>
      </w:r>
      <w:r w:rsidR="00FA4806">
        <w:rPr>
          <w:color w:val="000000" w:themeColor="text1"/>
        </w:rPr>
        <w:t>T</w:t>
      </w:r>
      <w:r w:rsidR="00FA4806" w:rsidRPr="00FA4806">
        <w:rPr>
          <w:color w:val="000000" w:themeColor="text1"/>
        </w:rPr>
        <w:t xml:space="preserve">ransboundary environmental assessments </w:t>
      </w:r>
      <w:r w:rsidR="00FA4806">
        <w:rPr>
          <w:color w:val="000000" w:themeColor="text1"/>
        </w:rPr>
        <w:t xml:space="preserve">are recognised and promoted for their potential to </w:t>
      </w:r>
      <w:r w:rsidR="00FA4806" w:rsidRPr="00FA4806">
        <w:rPr>
          <w:color w:val="000000" w:themeColor="text1"/>
        </w:rPr>
        <w:t>foster cooperation between neighbouring states</w:t>
      </w:r>
      <w:r w:rsidR="00FA4806">
        <w:rPr>
          <w:color w:val="000000" w:themeColor="text1"/>
        </w:rPr>
        <w:t xml:space="preserve"> and </w:t>
      </w:r>
      <w:r w:rsidR="00CE7AAD">
        <w:rPr>
          <w:color w:val="000000" w:themeColor="text1"/>
        </w:rPr>
        <w:t xml:space="preserve">to </w:t>
      </w:r>
      <w:r w:rsidR="00FA4806">
        <w:rPr>
          <w:color w:val="000000" w:themeColor="text1"/>
        </w:rPr>
        <w:t>enhance (w</w:t>
      </w:r>
      <w:r w:rsidR="00FA4806" w:rsidRPr="00FA4806">
        <w:rPr>
          <w:color w:val="000000" w:themeColor="text1"/>
        </w:rPr>
        <w:t>hile respecting national jurisdictions</w:t>
      </w:r>
      <w:r w:rsidR="00FA4806">
        <w:rPr>
          <w:color w:val="000000" w:themeColor="text1"/>
        </w:rPr>
        <w:t xml:space="preserve">) </w:t>
      </w:r>
      <w:r w:rsidR="00FA4806" w:rsidRPr="00FA4806">
        <w:rPr>
          <w:color w:val="000000" w:themeColor="text1"/>
        </w:rPr>
        <w:t>potential of national plans, programmes or projects to contribute to regional efforts to safeguard the Mediterranean.</w:t>
      </w:r>
      <w:r w:rsidR="00FA4806">
        <w:rPr>
          <w:color w:val="000000" w:themeColor="text1"/>
        </w:rPr>
        <w:t xml:space="preserve"> </w:t>
      </w:r>
      <w:r w:rsidR="007F2378" w:rsidRPr="00FA4806">
        <w:rPr>
          <w:color w:val="000000" w:themeColor="text1"/>
        </w:rPr>
        <w:t xml:space="preserve">Extensive guidance on SEA and EIA is available </w:t>
      </w:r>
      <w:r w:rsidR="009842DE" w:rsidRPr="00FA4806">
        <w:rPr>
          <w:color w:val="000000" w:themeColor="text1"/>
        </w:rPr>
        <w:t>a</w:t>
      </w:r>
      <w:r w:rsidR="00741C9B" w:rsidRPr="00FA4806">
        <w:rPr>
          <w:color w:val="000000" w:themeColor="text1"/>
        </w:rPr>
        <w:t xml:space="preserve">t UNECE and EU levels, </w:t>
      </w:r>
      <w:r w:rsidR="009842DE" w:rsidRPr="00FA4806">
        <w:rPr>
          <w:color w:val="000000" w:themeColor="text1"/>
        </w:rPr>
        <w:t xml:space="preserve">but </w:t>
      </w:r>
      <w:r w:rsidR="004449C7">
        <w:rPr>
          <w:color w:val="000000" w:themeColor="text1"/>
        </w:rPr>
        <w:t xml:space="preserve">it is </w:t>
      </w:r>
      <w:r w:rsidR="009842DE" w:rsidRPr="00FA4806">
        <w:rPr>
          <w:color w:val="000000" w:themeColor="text1"/>
        </w:rPr>
        <w:t>not so for the implementation of relevant provisions of the</w:t>
      </w:r>
      <w:r w:rsidR="00741C9B" w:rsidRPr="00FA4806">
        <w:rPr>
          <w:color w:val="000000" w:themeColor="text1"/>
        </w:rPr>
        <w:t xml:space="preserve"> Barcelona Convention (BC) and ICZM Protocol. </w:t>
      </w:r>
      <w:r w:rsidR="009842DE" w:rsidRPr="00FA4806">
        <w:rPr>
          <w:color w:val="000000" w:themeColor="text1"/>
        </w:rPr>
        <w:t xml:space="preserve"> </w:t>
      </w:r>
    </w:p>
    <w:p w14:paraId="72D65414" w14:textId="77777777" w:rsidR="007F2378" w:rsidRDefault="007F2378" w:rsidP="005D5A77">
      <w:pPr>
        <w:spacing w:after="0" w:line="240" w:lineRule="auto"/>
        <w:rPr>
          <w:color w:val="000000" w:themeColor="text1"/>
        </w:rPr>
      </w:pPr>
    </w:p>
    <w:p w14:paraId="236479E1" w14:textId="77777777" w:rsidR="005D5A77" w:rsidRDefault="00CE7AAD" w:rsidP="005D5A77">
      <w:pPr>
        <w:spacing w:after="0" w:line="240" w:lineRule="auto"/>
        <w:rPr>
          <w:color w:val="000000" w:themeColor="text1"/>
        </w:rPr>
      </w:pPr>
      <w:r>
        <w:rPr>
          <w:color w:val="000000" w:themeColor="text1"/>
        </w:rPr>
        <w:t xml:space="preserve">To address this gap and in line with Article </w:t>
      </w:r>
      <w:r w:rsidR="005D5A77" w:rsidRPr="005D5A77">
        <w:rPr>
          <w:color w:val="000000" w:themeColor="text1"/>
        </w:rPr>
        <w:t xml:space="preserve">29 of the ICZM Protocol, preparation of </w:t>
      </w:r>
      <w:r w:rsidR="005D5A77" w:rsidRPr="004A7925">
        <w:rPr>
          <w:i/>
          <w:color w:val="000000" w:themeColor="text1"/>
        </w:rPr>
        <w:t xml:space="preserve">Guidelines for </w:t>
      </w:r>
      <w:r w:rsidR="004A7925" w:rsidRPr="004A7925">
        <w:rPr>
          <w:i/>
          <w:color w:val="000000" w:themeColor="text1"/>
        </w:rPr>
        <w:t>e</w:t>
      </w:r>
      <w:r w:rsidR="005D5A77" w:rsidRPr="004A7925">
        <w:rPr>
          <w:i/>
          <w:color w:val="000000" w:themeColor="text1"/>
        </w:rPr>
        <w:t xml:space="preserve">nvironmental </w:t>
      </w:r>
      <w:r w:rsidR="004A7925" w:rsidRPr="004A7925">
        <w:rPr>
          <w:i/>
          <w:color w:val="000000" w:themeColor="text1"/>
        </w:rPr>
        <w:t>a</w:t>
      </w:r>
      <w:r w:rsidR="005D5A77" w:rsidRPr="004A7925">
        <w:rPr>
          <w:i/>
          <w:color w:val="000000" w:themeColor="text1"/>
        </w:rPr>
        <w:t xml:space="preserve">ssessment in a </w:t>
      </w:r>
      <w:r w:rsidR="004A7925" w:rsidRPr="004A7925">
        <w:rPr>
          <w:i/>
          <w:color w:val="000000" w:themeColor="text1"/>
        </w:rPr>
        <w:t>t</w:t>
      </w:r>
      <w:r w:rsidR="005D5A77" w:rsidRPr="004A7925">
        <w:rPr>
          <w:i/>
          <w:color w:val="000000" w:themeColor="text1"/>
        </w:rPr>
        <w:t xml:space="preserve">ransboundary </w:t>
      </w:r>
      <w:r w:rsidR="004A7925" w:rsidRPr="004A7925">
        <w:rPr>
          <w:i/>
          <w:color w:val="000000" w:themeColor="text1"/>
        </w:rPr>
        <w:t>c</w:t>
      </w:r>
      <w:r w:rsidR="005D5A77" w:rsidRPr="004A7925">
        <w:rPr>
          <w:i/>
          <w:color w:val="000000" w:themeColor="text1"/>
        </w:rPr>
        <w:t xml:space="preserve">ontext on the </w:t>
      </w:r>
      <w:r w:rsidR="004A7925" w:rsidRPr="004A7925">
        <w:rPr>
          <w:i/>
          <w:color w:val="000000" w:themeColor="text1"/>
        </w:rPr>
        <w:t>p</w:t>
      </w:r>
      <w:r w:rsidR="005D5A77" w:rsidRPr="004A7925">
        <w:rPr>
          <w:i/>
          <w:color w:val="000000" w:themeColor="text1"/>
        </w:rPr>
        <w:t xml:space="preserve">rocedures for </w:t>
      </w:r>
      <w:r w:rsidR="004A7925" w:rsidRPr="004A7925">
        <w:rPr>
          <w:i/>
          <w:color w:val="000000" w:themeColor="text1"/>
        </w:rPr>
        <w:t>n</w:t>
      </w:r>
      <w:r w:rsidR="005D5A77" w:rsidRPr="004A7925">
        <w:rPr>
          <w:i/>
          <w:color w:val="000000" w:themeColor="text1"/>
        </w:rPr>
        <w:t xml:space="preserve">otification, </w:t>
      </w:r>
      <w:r w:rsidR="004A7925" w:rsidRPr="004A7925">
        <w:rPr>
          <w:i/>
          <w:color w:val="000000" w:themeColor="text1"/>
        </w:rPr>
        <w:t>e</w:t>
      </w:r>
      <w:r w:rsidR="005D5A77" w:rsidRPr="004A7925">
        <w:rPr>
          <w:i/>
          <w:color w:val="000000" w:themeColor="text1"/>
        </w:rPr>
        <w:t xml:space="preserve">xchange of </w:t>
      </w:r>
      <w:r w:rsidR="004A7925" w:rsidRPr="004A7925">
        <w:rPr>
          <w:i/>
          <w:color w:val="000000" w:themeColor="text1"/>
        </w:rPr>
        <w:t>i</w:t>
      </w:r>
      <w:r w:rsidR="005D5A77" w:rsidRPr="004A7925">
        <w:rPr>
          <w:i/>
          <w:color w:val="000000" w:themeColor="text1"/>
        </w:rPr>
        <w:t xml:space="preserve">nformation and </w:t>
      </w:r>
      <w:r w:rsidR="004A7925" w:rsidRPr="004A7925">
        <w:rPr>
          <w:i/>
          <w:color w:val="000000" w:themeColor="text1"/>
        </w:rPr>
        <w:t>c</w:t>
      </w:r>
      <w:r w:rsidR="005D5A77" w:rsidRPr="004A7925">
        <w:rPr>
          <w:i/>
          <w:color w:val="000000" w:themeColor="text1"/>
        </w:rPr>
        <w:t xml:space="preserve">onsultation among the Mediterranean </w:t>
      </w:r>
      <w:r w:rsidR="004A7925" w:rsidRPr="004A7925">
        <w:rPr>
          <w:i/>
          <w:color w:val="000000" w:themeColor="text1"/>
        </w:rPr>
        <w:t>s</w:t>
      </w:r>
      <w:r w:rsidR="005D5A77" w:rsidRPr="004A7925">
        <w:rPr>
          <w:i/>
          <w:color w:val="000000" w:themeColor="text1"/>
        </w:rPr>
        <w:t>tates</w:t>
      </w:r>
      <w:r w:rsidR="00F45ED6">
        <w:rPr>
          <w:color w:val="000000" w:themeColor="text1"/>
        </w:rPr>
        <w:t xml:space="preserve"> was mandated under the UN Environment</w:t>
      </w:r>
      <w:r w:rsidR="00DE4621">
        <w:rPr>
          <w:color w:val="000000" w:themeColor="text1"/>
        </w:rPr>
        <w:t xml:space="preserve">/ </w:t>
      </w:r>
      <w:r w:rsidR="00F45ED6">
        <w:rPr>
          <w:color w:val="000000" w:themeColor="text1"/>
        </w:rPr>
        <w:t>MAP Programme of Work (</w:t>
      </w:r>
      <w:proofErr w:type="spellStart"/>
      <w:r w:rsidR="00F45ED6">
        <w:rPr>
          <w:color w:val="000000" w:themeColor="text1"/>
        </w:rPr>
        <w:t>PoW</w:t>
      </w:r>
      <w:proofErr w:type="spellEnd"/>
      <w:r w:rsidR="00F45ED6">
        <w:rPr>
          <w:color w:val="000000" w:themeColor="text1"/>
        </w:rPr>
        <w:t>) 2018 – 2019 for the cross-cutting theme on ICZM</w:t>
      </w:r>
      <w:r w:rsidR="005D5A77" w:rsidRPr="005D5A77">
        <w:rPr>
          <w:color w:val="000000" w:themeColor="text1"/>
        </w:rPr>
        <w:t xml:space="preserve">. </w:t>
      </w:r>
    </w:p>
    <w:p w14:paraId="60A474E4" w14:textId="77777777" w:rsidR="00254F25" w:rsidRDefault="00254F25" w:rsidP="005D5A77">
      <w:pPr>
        <w:spacing w:after="0" w:line="240" w:lineRule="auto"/>
        <w:rPr>
          <w:color w:val="000000" w:themeColor="text1"/>
        </w:rPr>
      </w:pPr>
    </w:p>
    <w:p w14:paraId="20254BF6" w14:textId="5B2E259E" w:rsidR="00E53FD2" w:rsidRPr="00432B53" w:rsidRDefault="00007882" w:rsidP="00F45ED6">
      <w:pPr>
        <w:spacing w:after="0" w:line="240" w:lineRule="auto"/>
        <w:rPr>
          <w:color w:val="833C0B" w:themeColor="accent2" w:themeShade="80"/>
        </w:rPr>
      </w:pPr>
      <w:r>
        <w:rPr>
          <w:color w:val="000000" w:themeColor="text1"/>
        </w:rPr>
        <w:t>The p</w:t>
      </w:r>
      <w:r w:rsidR="00254F25">
        <w:rPr>
          <w:color w:val="000000" w:themeColor="text1"/>
        </w:rPr>
        <w:t xml:space="preserve">urpose of the </w:t>
      </w:r>
      <w:r w:rsidR="004A7925">
        <w:rPr>
          <w:color w:val="000000" w:themeColor="text1"/>
        </w:rPr>
        <w:t>Guidelines laid out in this document</w:t>
      </w:r>
      <w:r w:rsidR="00254F25">
        <w:rPr>
          <w:color w:val="000000" w:themeColor="text1"/>
        </w:rPr>
        <w:t xml:space="preserve"> is </w:t>
      </w:r>
      <w:r w:rsidR="004A7925">
        <w:rPr>
          <w:color w:val="000000" w:themeColor="text1"/>
        </w:rPr>
        <w:t xml:space="preserve">to </w:t>
      </w:r>
      <w:r w:rsidR="004C2D9E" w:rsidRPr="00F45ED6">
        <w:rPr>
          <w:color w:val="000000" w:themeColor="text1"/>
        </w:rPr>
        <w:t>provide the B</w:t>
      </w:r>
      <w:r w:rsidR="004A7925">
        <w:rPr>
          <w:color w:val="000000" w:themeColor="text1"/>
        </w:rPr>
        <w:t xml:space="preserve">C </w:t>
      </w:r>
      <w:r w:rsidR="004C2D9E" w:rsidRPr="00F45ED6">
        <w:rPr>
          <w:color w:val="000000" w:themeColor="text1"/>
        </w:rPr>
        <w:t>Contracting Parties with a</w:t>
      </w:r>
      <w:r w:rsidR="00492362">
        <w:rPr>
          <w:color w:val="000000" w:themeColor="text1"/>
        </w:rPr>
        <w:t xml:space="preserve">n </w:t>
      </w:r>
      <w:r w:rsidR="004C2D9E" w:rsidRPr="00F45ED6">
        <w:rPr>
          <w:color w:val="000000" w:themeColor="text1"/>
        </w:rPr>
        <w:t>operational tool for carrying out transboundary environmental assessments</w:t>
      </w:r>
      <w:r w:rsidR="00254F25">
        <w:rPr>
          <w:color w:val="000000" w:themeColor="text1"/>
        </w:rPr>
        <w:t xml:space="preserve">. </w:t>
      </w:r>
      <w:r w:rsidR="0076152B" w:rsidRPr="00F45ED6">
        <w:rPr>
          <w:color w:val="000000" w:themeColor="text1"/>
        </w:rPr>
        <w:t>The Guidelines draw from the experiences of other relevant policy frameworks while addressing, to the extent possible, regional and sub-regional specificities in the Mediterranean, aiming at the same time to showcase potential and advantages of effective transboundary SEAs</w:t>
      </w:r>
      <w:r w:rsidR="00930312">
        <w:rPr>
          <w:color w:val="000000" w:themeColor="text1"/>
        </w:rPr>
        <w:t xml:space="preserve"> and EIAs</w:t>
      </w:r>
      <w:r w:rsidR="0076152B" w:rsidRPr="00F45ED6">
        <w:rPr>
          <w:color w:val="000000" w:themeColor="text1"/>
        </w:rPr>
        <w:t>.</w:t>
      </w:r>
      <w:r w:rsidR="00492362">
        <w:rPr>
          <w:color w:val="000000" w:themeColor="text1"/>
        </w:rPr>
        <w:t xml:space="preserve"> </w:t>
      </w:r>
      <w:r w:rsidR="00E53FD2" w:rsidRPr="00432B53">
        <w:rPr>
          <w:color w:val="000000" w:themeColor="text1"/>
        </w:rPr>
        <w:t xml:space="preserve">Examples of good practices in transboundary environmental assessments are provided throughout the document </w:t>
      </w:r>
      <w:r w:rsidR="00E53FD2" w:rsidRPr="00432B53">
        <w:rPr>
          <w:color w:val="833C0B" w:themeColor="accent2" w:themeShade="80"/>
        </w:rPr>
        <w:t>(Box</w:t>
      </w:r>
      <w:r w:rsidR="00432B53" w:rsidRPr="00432B53">
        <w:rPr>
          <w:color w:val="833C0B" w:themeColor="accent2" w:themeShade="80"/>
        </w:rPr>
        <w:t>es 4-1, 4-2, 4-3 and 5-1)</w:t>
      </w:r>
      <w:r w:rsidR="00E53FD2" w:rsidRPr="00432B53">
        <w:rPr>
          <w:color w:val="833C0B" w:themeColor="accent2" w:themeShade="80"/>
        </w:rPr>
        <w:t>.</w:t>
      </w:r>
    </w:p>
    <w:p w14:paraId="51DFDCE1" w14:textId="77777777" w:rsidR="00E53FD2" w:rsidRDefault="00E53FD2" w:rsidP="00F45ED6">
      <w:pPr>
        <w:spacing w:after="0" w:line="240" w:lineRule="auto"/>
        <w:rPr>
          <w:color w:val="000000" w:themeColor="text1"/>
        </w:rPr>
      </w:pPr>
    </w:p>
    <w:p w14:paraId="14298CA4" w14:textId="1B708892" w:rsidR="004C2D9E" w:rsidRPr="00F45ED6" w:rsidRDefault="00492362" w:rsidP="00F45ED6">
      <w:pPr>
        <w:spacing w:after="0" w:line="240" w:lineRule="auto"/>
        <w:rPr>
          <w:color w:val="C00000"/>
        </w:rPr>
      </w:pPr>
      <w:r>
        <w:rPr>
          <w:color w:val="000000" w:themeColor="text1"/>
        </w:rPr>
        <w:t xml:space="preserve">Since various international agreements and </w:t>
      </w:r>
      <w:r w:rsidR="00EA25B8">
        <w:rPr>
          <w:color w:val="000000" w:themeColor="text1"/>
        </w:rPr>
        <w:t xml:space="preserve">national </w:t>
      </w:r>
      <w:r>
        <w:rPr>
          <w:color w:val="000000" w:themeColor="text1"/>
        </w:rPr>
        <w:t xml:space="preserve">regulations apply across the </w:t>
      </w:r>
      <w:r w:rsidR="0076152B">
        <w:rPr>
          <w:color w:val="000000" w:themeColor="text1"/>
        </w:rPr>
        <w:t xml:space="preserve">BC </w:t>
      </w:r>
      <w:r>
        <w:rPr>
          <w:color w:val="000000" w:themeColor="text1"/>
        </w:rPr>
        <w:t xml:space="preserve">area, the aim of the Guidelines is also to create a common reference framework for all the Contracting Parties through identification and promotion of a set of </w:t>
      </w:r>
      <w:r w:rsidR="00D87EBA">
        <w:rPr>
          <w:color w:val="000000" w:themeColor="text1"/>
        </w:rPr>
        <w:t xml:space="preserve">standards and good practice </w:t>
      </w:r>
      <w:r w:rsidR="00930312">
        <w:rPr>
          <w:color w:val="000000" w:themeColor="text1"/>
        </w:rPr>
        <w:t xml:space="preserve">recommendations </w:t>
      </w:r>
      <w:r w:rsidR="00D87EBA">
        <w:rPr>
          <w:color w:val="000000" w:themeColor="text1"/>
        </w:rPr>
        <w:t xml:space="preserve">on </w:t>
      </w:r>
      <w:r>
        <w:rPr>
          <w:color w:val="000000" w:themeColor="text1"/>
        </w:rPr>
        <w:t xml:space="preserve">carrying out notification, exchange of information and consultations in transboundary environmental </w:t>
      </w:r>
      <w:r>
        <w:rPr>
          <w:color w:val="000000" w:themeColor="text1"/>
        </w:rPr>
        <w:lastRenderedPageBreak/>
        <w:t xml:space="preserve">assessments. Finally, the Guidelines </w:t>
      </w:r>
      <w:r w:rsidR="00EF0374" w:rsidRPr="00EF0374">
        <w:rPr>
          <w:color w:val="000000" w:themeColor="text1"/>
        </w:rPr>
        <w:t xml:space="preserve">recommend possible </w:t>
      </w:r>
      <w:r w:rsidRPr="00EF0374">
        <w:rPr>
          <w:iCs/>
          <w:color w:val="000000" w:themeColor="text1"/>
        </w:rPr>
        <w:t>course</w:t>
      </w:r>
      <w:r w:rsidR="00EF0374" w:rsidRPr="00EF0374">
        <w:rPr>
          <w:iCs/>
          <w:color w:val="000000" w:themeColor="text1"/>
        </w:rPr>
        <w:t>s</w:t>
      </w:r>
      <w:r w:rsidRPr="00EF0374">
        <w:rPr>
          <w:iCs/>
          <w:color w:val="000000" w:themeColor="text1"/>
        </w:rPr>
        <w:t xml:space="preserve"> of action </w:t>
      </w:r>
      <w:r w:rsidR="00EF0374" w:rsidRPr="00EF0374">
        <w:rPr>
          <w:iCs/>
          <w:color w:val="000000" w:themeColor="text1"/>
        </w:rPr>
        <w:t xml:space="preserve">to strengthen </w:t>
      </w:r>
      <w:r w:rsidRPr="00EF0374">
        <w:rPr>
          <w:iCs/>
          <w:color w:val="000000" w:themeColor="text1"/>
        </w:rPr>
        <w:t>implementation of environmental assessments</w:t>
      </w:r>
      <w:r w:rsidRPr="00EF0374">
        <w:rPr>
          <w:color w:val="000000" w:themeColor="text1"/>
        </w:rPr>
        <w:t xml:space="preserve"> </w:t>
      </w:r>
      <w:r w:rsidR="00EF0374">
        <w:rPr>
          <w:color w:val="000000" w:themeColor="text1"/>
        </w:rPr>
        <w:t xml:space="preserve">in a transboundary </w:t>
      </w:r>
      <w:r w:rsidR="00EF0374" w:rsidRPr="00E53FD2">
        <w:rPr>
          <w:color w:val="000000" w:themeColor="text1"/>
        </w:rPr>
        <w:t xml:space="preserve">context and </w:t>
      </w:r>
      <w:r w:rsidR="004C2D9E" w:rsidRPr="00F45ED6">
        <w:rPr>
          <w:color w:val="000000" w:themeColor="text1"/>
        </w:rPr>
        <w:t xml:space="preserve">enhance cooperation for </w:t>
      </w:r>
      <w:r w:rsidR="00136BF2">
        <w:rPr>
          <w:color w:val="000000" w:themeColor="text1"/>
        </w:rPr>
        <w:t xml:space="preserve">the implementation </w:t>
      </w:r>
      <w:r w:rsidR="004C2D9E" w:rsidRPr="00F45ED6">
        <w:rPr>
          <w:color w:val="000000" w:themeColor="text1"/>
        </w:rPr>
        <w:t>of ICZM</w:t>
      </w:r>
      <w:r w:rsidR="00136BF2">
        <w:rPr>
          <w:color w:val="000000" w:themeColor="text1"/>
        </w:rPr>
        <w:t xml:space="preserve">, </w:t>
      </w:r>
      <w:r w:rsidR="004C2D9E" w:rsidRPr="00F45ED6">
        <w:rPr>
          <w:color w:val="000000" w:themeColor="text1"/>
        </w:rPr>
        <w:t>achievement of G</w:t>
      </w:r>
      <w:r w:rsidR="004D6F35" w:rsidRPr="00F45ED6">
        <w:rPr>
          <w:color w:val="000000" w:themeColor="text1"/>
        </w:rPr>
        <w:t xml:space="preserve">ES </w:t>
      </w:r>
      <w:r w:rsidR="00136BF2">
        <w:rPr>
          <w:color w:val="000000" w:themeColor="text1"/>
        </w:rPr>
        <w:t xml:space="preserve">and sustainable development </w:t>
      </w:r>
      <w:r w:rsidR="004C2D9E" w:rsidRPr="00F45ED6">
        <w:rPr>
          <w:color w:val="000000" w:themeColor="text1"/>
        </w:rPr>
        <w:t xml:space="preserve">in the Mediterranean. </w:t>
      </w:r>
    </w:p>
    <w:p w14:paraId="19052E72" w14:textId="77777777" w:rsidR="00193749" w:rsidRDefault="004E3E11" w:rsidP="00A6304C">
      <w:pPr>
        <w:pStyle w:val="Heading1"/>
        <w:spacing w:line="240" w:lineRule="auto"/>
      </w:pPr>
      <w:bookmarkStart w:id="3" w:name="_Toc5308773"/>
      <w:r w:rsidRPr="008652FC">
        <w:t xml:space="preserve">Legal </w:t>
      </w:r>
      <w:r w:rsidR="00BC28CE" w:rsidRPr="008652FC">
        <w:t xml:space="preserve">frameworks for the implementation of </w:t>
      </w:r>
      <w:r w:rsidR="001056E5" w:rsidRPr="008652FC">
        <w:t xml:space="preserve">transboundary </w:t>
      </w:r>
      <w:r w:rsidR="00BC28CE" w:rsidRPr="008652FC">
        <w:t>environmental assessments in the Mediterranean</w:t>
      </w:r>
      <w:bookmarkEnd w:id="3"/>
      <w:r w:rsidRPr="00615099">
        <w:t xml:space="preserve"> </w:t>
      </w:r>
    </w:p>
    <w:p w14:paraId="76D38E19" w14:textId="77777777" w:rsidR="00136BF2" w:rsidRPr="00136BF2" w:rsidRDefault="00136BF2" w:rsidP="00136BF2">
      <w:pPr>
        <w:spacing w:after="0" w:line="240" w:lineRule="auto"/>
      </w:pPr>
    </w:p>
    <w:p w14:paraId="2CFF4840" w14:textId="77777777" w:rsidR="00D25D50" w:rsidRPr="0064084B" w:rsidRDefault="00193749" w:rsidP="00136BF2">
      <w:pPr>
        <w:spacing w:after="0" w:line="240" w:lineRule="auto"/>
        <w:rPr>
          <w:rFonts w:cstheme="minorHAnsi"/>
          <w:color w:val="000000" w:themeColor="text1"/>
        </w:rPr>
      </w:pPr>
      <w:r w:rsidRPr="00811A32">
        <w:rPr>
          <w:rFonts w:cstheme="minorHAnsi"/>
        </w:rPr>
        <w:t xml:space="preserve">Implementation of transboundary assessments in the Mediterranean is governed by </w:t>
      </w:r>
      <w:r w:rsidR="00726F02" w:rsidRPr="00811A32">
        <w:rPr>
          <w:rFonts w:cstheme="minorHAnsi"/>
        </w:rPr>
        <w:t xml:space="preserve">various </w:t>
      </w:r>
      <w:r w:rsidRPr="00811A32">
        <w:rPr>
          <w:rFonts w:cstheme="minorHAnsi"/>
        </w:rPr>
        <w:t xml:space="preserve">legal and policy frameworks, including Barcelona Convention/ ICZM Protocol, </w:t>
      </w:r>
      <w:r w:rsidR="00416BC4">
        <w:rPr>
          <w:rFonts w:cstheme="minorHAnsi"/>
        </w:rPr>
        <w:t xml:space="preserve">UNECE </w:t>
      </w:r>
      <w:r w:rsidRPr="00811A32">
        <w:rPr>
          <w:rFonts w:cstheme="minorHAnsi"/>
        </w:rPr>
        <w:t>Espoo Convention</w:t>
      </w:r>
      <w:r w:rsidR="0004761D">
        <w:rPr>
          <w:rFonts w:cstheme="minorHAnsi"/>
        </w:rPr>
        <w:t xml:space="preserve"> and </w:t>
      </w:r>
      <w:r w:rsidRPr="00811A32">
        <w:rPr>
          <w:rFonts w:cstheme="minorHAnsi"/>
        </w:rPr>
        <w:t xml:space="preserve">SEA </w:t>
      </w:r>
      <w:r w:rsidR="00726F02" w:rsidRPr="00811A32">
        <w:rPr>
          <w:rFonts w:cstheme="minorHAnsi"/>
        </w:rPr>
        <w:t xml:space="preserve">(Kiev) </w:t>
      </w:r>
      <w:r w:rsidRPr="00811A32">
        <w:rPr>
          <w:rFonts w:cstheme="minorHAnsi"/>
        </w:rPr>
        <w:t>Protocol</w:t>
      </w:r>
      <w:r w:rsidRPr="00811A32">
        <w:rPr>
          <w:rStyle w:val="FootnoteReference"/>
          <w:rFonts w:cstheme="minorHAnsi"/>
        </w:rPr>
        <w:footnoteReference w:id="3"/>
      </w:r>
      <w:r w:rsidR="00416BC4">
        <w:rPr>
          <w:rFonts w:cstheme="minorHAnsi"/>
        </w:rPr>
        <w:t xml:space="preserve">, and </w:t>
      </w:r>
      <w:r w:rsidR="00416BC4" w:rsidRPr="00811A32">
        <w:rPr>
          <w:rFonts w:cstheme="minorHAnsi"/>
        </w:rPr>
        <w:t>the EU environme</w:t>
      </w:r>
      <w:r w:rsidR="00416BC4">
        <w:rPr>
          <w:rFonts w:cstheme="minorHAnsi"/>
        </w:rPr>
        <w:t>ntal assessments Directives</w:t>
      </w:r>
      <w:r w:rsidRPr="00811A32">
        <w:rPr>
          <w:rFonts w:cstheme="minorHAnsi"/>
        </w:rPr>
        <w:t xml:space="preserve">. </w:t>
      </w:r>
      <w:r w:rsidR="000F4BD9" w:rsidRPr="0064084B">
        <w:rPr>
          <w:rFonts w:cstheme="minorHAnsi"/>
          <w:color w:val="000000" w:themeColor="text1"/>
        </w:rPr>
        <w:t xml:space="preserve">In 2001, </w:t>
      </w:r>
      <w:r w:rsidR="004269E1" w:rsidRPr="0064084B">
        <w:rPr>
          <w:rFonts w:cstheme="minorHAnsi"/>
          <w:color w:val="000000" w:themeColor="text1"/>
        </w:rPr>
        <w:t>Parties to t</w:t>
      </w:r>
      <w:r w:rsidR="0004761D" w:rsidRPr="0064084B">
        <w:rPr>
          <w:rFonts w:cstheme="minorHAnsi"/>
          <w:color w:val="000000" w:themeColor="text1"/>
        </w:rPr>
        <w:t xml:space="preserve">he Espoo Convention adopted an amendment </w:t>
      </w:r>
      <w:r w:rsidR="000F4BD9" w:rsidRPr="0064084B">
        <w:rPr>
          <w:rFonts w:cstheme="minorHAnsi"/>
          <w:color w:val="000000" w:themeColor="text1"/>
        </w:rPr>
        <w:t xml:space="preserve">to allow the </w:t>
      </w:r>
      <w:r w:rsidR="0004761D" w:rsidRPr="0064084B">
        <w:rPr>
          <w:rFonts w:cstheme="minorHAnsi"/>
          <w:color w:val="000000" w:themeColor="text1"/>
        </w:rPr>
        <w:t xml:space="preserve">non-UNECE </w:t>
      </w:r>
      <w:r w:rsidR="000F4BD9" w:rsidRPr="0064084B">
        <w:rPr>
          <w:rFonts w:cstheme="minorHAnsi"/>
          <w:color w:val="000000" w:themeColor="text1"/>
        </w:rPr>
        <w:t xml:space="preserve">countries </w:t>
      </w:r>
      <w:r w:rsidR="0004761D" w:rsidRPr="0064084B">
        <w:rPr>
          <w:rFonts w:cstheme="minorHAnsi"/>
          <w:color w:val="000000" w:themeColor="text1"/>
        </w:rPr>
        <w:t xml:space="preserve">to </w:t>
      </w:r>
      <w:r w:rsidR="000F4BD9" w:rsidRPr="0064084B">
        <w:rPr>
          <w:rFonts w:cstheme="minorHAnsi"/>
          <w:color w:val="000000" w:themeColor="text1"/>
        </w:rPr>
        <w:t xml:space="preserve">join the </w:t>
      </w:r>
      <w:r w:rsidR="004269E1" w:rsidRPr="0064084B">
        <w:rPr>
          <w:rFonts w:cstheme="minorHAnsi"/>
          <w:color w:val="000000" w:themeColor="text1"/>
        </w:rPr>
        <w:t xml:space="preserve">Convention, however </w:t>
      </w:r>
      <w:r w:rsidR="0004761D" w:rsidRPr="0064084B">
        <w:rPr>
          <w:rFonts w:cstheme="minorHAnsi"/>
          <w:color w:val="000000" w:themeColor="text1"/>
        </w:rPr>
        <w:t>this amendment</w:t>
      </w:r>
      <w:r w:rsidR="00976C19" w:rsidRPr="0064084B">
        <w:rPr>
          <w:rFonts w:cstheme="minorHAnsi"/>
          <w:color w:val="000000" w:themeColor="text1"/>
        </w:rPr>
        <w:t xml:space="preserve"> is not in effect </w:t>
      </w:r>
      <w:r w:rsidR="004269E1" w:rsidRPr="0064084B">
        <w:rPr>
          <w:rFonts w:cstheme="minorHAnsi"/>
          <w:color w:val="000000" w:themeColor="text1"/>
        </w:rPr>
        <w:t>yet (eight more ratifications were needed as of 2017)</w:t>
      </w:r>
      <w:r w:rsidR="0004761D" w:rsidRPr="0064084B">
        <w:rPr>
          <w:rFonts w:cstheme="minorHAnsi"/>
          <w:color w:val="000000" w:themeColor="text1"/>
        </w:rPr>
        <w:t>.</w:t>
      </w:r>
    </w:p>
    <w:p w14:paraId="588379C5" w14:textId="77777777" w:rsidR="00D25D50" w:rsidRDefault="00D25D50" w:rsidP="00136BF2">
      <w:pPr>
        <w:spacing w:after="0" w:line="240" w:lineRule="auto"/>
        <w:rPr>
          <w:rFonts w:cstheme="minorHAnsi"/>
        </w:rPr>
      </w:pPr>
    </w:p>
    <w:p w14:paraId="46E34F16" w14:textId="77777777" w:rsidR="00C11755" w:rsidRDefault="00193749" w:rsidP="00136BF2">
      <w:pPr>
        <w:spacing w:after="0" w:line="240" w:lineRule="auto"/>
        <w:rPr>
          <w:rFonts w:cstheme="minorHAnsi"/>
        </w:rPr>
      </w:pPr>
      <w:r w:rsidRPr="00811A32">
        <w:rPr>
          <w:rFonts w:cstheme="minorHAnsi"/>
        </w:rPr>
        <w:t xml:space="preserve">The southern Mediterranean and other countries </w:t>
      </w:r>
      <w:r w:rsidR="00136BF2">
        <w:rPr>
          <w:rFonts w:cstheme="minorHAnsi"/>
        </w:rPr>
        <w:t xml:space="preserve">where environmental assessments are not regulated under the EU and UNECE instruments </w:t>
      </w:r>
      <w:r w:rsidR="00DB3C95" w:rsidRPr="00811A32">
        <w:rPr>
          <w:rFonts w:cstheme="minorHAnsi"/>
        </w:rPr>
        <w:t>have</w:t>
      </w:r>
      <w:r w:rsidR="00AE2F9C" w:rsidRPr="00811A32">
        <w:rPr>
          <w:rFonts w:cstheme="minorHAnsi"/>
        </w:rPr>
        <w:t xml:space="preserve"> </w:t>
      </w:r>
      <w:r w:rsidR="00136BF2">
        <w:rPr>
          <w:rFonts w:cstheme="minorHAnsi"/>
        </w:rPr>
        <w:t>adopted (</w:t>
      </w:r>
      <w:r w:rsidR="00AE2F9C" w:rsidRPr="00811A32">
        <w:rPr>
          <w:rFonts w:cstheme="minorHAnsi"/>
        </w:rPr>
        <w:t>or are in the process of developing</w:t>
      </w:r>
      <w:r w:rsidR="00136BF2">
        <w:rPr>
          <w:rFonts w:cstheme="minorHAnsi"/>
        </w:rPr>
        <w:t xml:space="preserve">) </w:t>
      </w:r>
      <w:r w:rsidR="00726F02" w:rsidRPr="00811A32">
        <w:rPr>
          <w:rFonts w:cstheme="minorHAnsi"/>
        </w:rPr>
        <w:t xml:space="preserve">national EIA </w:t>
      </w:r>
      <w:r w:rsidR="00136BF2">
        <w:rPr>
          <w:rFonts w:cstheme="minorHAnsi"/>
        </w:rPr>
        <w:t>regulations</w:t>
      </w:r>
      <w:r w:rsidR="00726F02" w:rsidRPr="00811A32">
        <w:rPr>
          <w:rFonts w:cstheme="minorHAnsi"/>
        </w:rPr>
        <w:t>. P</w:t>
      </w:r>
      <w:r w:rsidR="00AE2F9C" w:rsidRPr="00811A32">
        <w:rPr>
          <w:rFonts w:cstheme="minorHAnsi"/>
        </w:rPr>
        <w:t xml:space="preserve">rovisions on </w:t>
      </w:r>
      <w:r w:rsidR="00DB3C95" w:rsidRPr="00811A32">
        <w:rPr>
          <w:rFonts w:cstheme="minorHAnsi"/>
        </w:rPr>
        <w:t>SEA</w:t>
      </w:r>
      <w:r w:rsidR="00AE2F9C" w:rsidRPr="00811A32">
        <w:rPr>
          <w:rFonts w:cstheme="minorHAnsi"/>
        </w:rPr>
        <w:t xml:space="preserve"> </w:t>
      </w:r>
      <w:r w:rsidR="00726F02" w:rsidRPr="00811A32">
        <w:rPr>
          <w:rFonts w:cstheme="minorHAnsi"/>
        </w:rPr>
        <w:t xml:space="preserve">in these countries </w:t>
      </w:r>
      <w:r w:rsidR="00AE2F9C" w:rsidRPr="00811A32">
        <w:rPr>
          <w:rFonts w:cstheme="minorHAnsi"/>
        </w:rPr>
        <w:t xml:space="preserve">are </w:t>
      </w:r>
      <w:r w:rsidR="00726F02" w:rsidRPr="00811A32">
        <w:rPr>
          <w:rFonts w:cstheme="minorHAnsi"/>
        </w:rPr>
        <w:t>rare and</w:t>
      </w:r>
      <w:r w:rsidR="00811A32">
        <w:rPr>
          <w:rFonts w:cstheme="minorHAnsi"/>
        </w:rPr>
        <w:t xml:space="preserve"> rudimentary</w:t>
      </w:r>
      <w:r w:rsidR="00726F02" w:rsidRPr="00811A32">
        <w:rPr>
          <w:rFonts w:cstheme="minorHAnsi"/>
        </w:rPr>
        <w:t xml:space="preserve">, nevertheless </w:t>
      </w:r>
      <w:r w:rsidR="00726F02" w:rsidRPr="00224725">
        <w:rPr>
          <w:rFonts w:cstheme="minorHAnsi"/>
        </w:rPr>
        <w:t xml:space="preserve">SEAs are sometimes conducted on a voluntary basis in line with international regulations. Requirements to address transboundary impacts by </w:t>
      </w:r>
      <w:r w:rsidR="00811A32" w:rsidRPr="00224725">
        <w:rPr>
          <w:rFonts w:cstheme="minorHAnsi"/>
        </w:rPr>
        <w:t xml:space="preserve">enabling </w:t>
      </w:r>
      <w:r w:rsidR="00726F02" w:rsidRPr="00224725">
        <w:rPr>
          <w:rFonts w:cstheme="minorHAnsi"/>
        </w:rPr>
        <w:t>affected countries</w:t>
      </w:r>
      <w:r w:rsidR="00811A32" w:rsidRPr="00224725">
        <w:rPr>
          <w:rFonts w:cstheme="minorHAnsi"/>
        </w:rPr>
        <w:t xml:space="preserve"> to take part </w:t>
      </w:r>
      <w:r w:rsidR="00726F02" w:rsidRPr="00224725">
        <w:rPr>
          <w:rFonts w:cstheme="minorHAnsi"/>
        </w:rPr>
        <w:t>in the assessment procedures are</w:t>
      </w:r>
      <w:r w:rsidR="0007686E" w:rsidRPr="00224725">
        <w:rPr>
          <w:rFonts w:cstheme="minorHAnsi"/>
        </w:rPr>
        <w:t xml:space="preserve"> usually </w:t>
      </w:r>
      <w:r w:rsidR="00726F02" w:rsidRPr="00224725">
        <w:rPr>
          <w:rFonts w:cstheme="minorHAnsi"/>
        </w:rPr>
        <w:t xml:space="preserve">not integrated in the national regulations of </w:t>
      </w:r>
      <w:r w:rsidR="00811A32" w:rsidRPr="00224725">
        <w:rPr>
          <w:rFonts w:cstheme="minorHAnsi"/>
        </w:rPr>
        <w:t xml:space="preserve">the </w:t>
      </w:r>
      <w:r w:rsidR="00726F02" w:rsidRPr="00224725">
        <w:rPr>
          <w:rFonts w:cstheme="minorHAnsi"/>
        </w:rPr>
        <w:t>countries that are not Parties to UNECE treaties (</w:t>
      </w:r>
      <w:r w:rsidR="00811A32" w:rsidRPr="00224725">
        <w:rPr>
          <w:rFonts w:cstheme="minorHAnsi"/>
        </w:rPr>
        <w:t xml:space="preserve">and are not </w:t>
      </w:r>
      <w:r w:rsidR="00726F02" w:rsidRPr="00224725">
        <w:rPr>
          <w:rFonts w:cstheme="minorHAnsi"/>
        </w:rPr>
        <w:t>EU Member States).</w:t>
      </w:r>
      <w:r w:rsidR="00D25D50">
        <w:rPr>
          <w:rFonts w:cstheme="minorHAnsi"/>
        </w:rPr>
        <w:t xml:space="preserve"> </w:t>
      </w:r>
    </w:p>
    <w:p w14:paraId="195DD4A3" w14:textId="77777777" w:rsidR="00C11755" w:rsidRDefault="00C11755" w:rsidP="00811A32">
      <w:pPr>
        <w:spacing w:after="0" w:line="240" w:lineRule="auto"/>
        <w:rPr>
          <w:rFonts w:cstheme="minorHAnsi"/>
        </w:rPr>
      </w:pPr>
    </w:p>
    <w:p w14:paraId="3FB33C4B" w14:textId="77777777" w:rsidR="004E3E11" w:rsidRDefault="004E3E11" w:rsidP="005B2F4A">
      <w:pPr>
        <w:pStyle w:val="Heading2"/>
      </w:pPr>
      <w:bookmarkStart w:id="4" w:name="_Toc5308774"/>
      <w:r w:rsidRPr="00615099">
        <w:t>Barcelona Convention and ICZM Protocol</w:t>
      </w:r>
      <w:bookmarkEnd w:id="4"/>
    </w:p>
    <w:p w14:paraId="5A1CE33C" w14:textId="77777777" w:rsidR="0007686E" w:rsidRDefault="0007686E" w:rsidP="00EF0374">
      <w:pPr>
        <w:spacing w:after="0" w:line="240" w:lineRule="auto"/>
      </w:pPr>
    </w:p>
    <w:p w14:paraId="21465468" w14:textId="77777777" w:rsidR="00EF0374" w:rsidRDefault="00EF0374" w:rsidP="00EF0374">
      <w:pPr>
        <w:spacing w:after="0" w:line="240" w:lineRule="auto"/>
      </w:pPr>
      <w:r w:rsidRPr="00EF48A3">
        <w:t>Article 4 of the Barcelona Convention</w:t>
      </w:r>
      <w:r w:rsidR="00AC6334">
        <w:rPr>
          <w:rStyle w:val="FootnoteReference"/>
        </w:rPr>
        <w:footnoteReference w:id="4"/>
      </w:r>
      <w:r w:rsidRPr="00EF48A3">
        <w:t xml:space="preserve"> calls upon the Contracting Parties to </w:t>
      </w:r>
      <w:r w:rsidRPr="00066760">
        <w:rPr>
          <w:i/>
        </w:rPr>
        <w:t>inter alia</w:t>
      </w:r>
      <w:r w:rsidRPr="00EF48A3">
        <w:t xml:space="preserve"> ‘</w:t>
      </w:r>
      <w:r w:rsidRPr="00EF0374">
        <w:rPr>
          <w:i/>
        </w:rPr>
        <w:t>protect the environment and contribute to the sustainable development of the Mediterranean Sea Area</w:t>
      </w:r>
      <w:r w:rsidRPr="00EF48A3">
        <w:t xml:space="preserve">’ by undertaking environmental impact assessment </w:t>
      </w:r>
      <w:r w:rsidRPr="00EF0374">
        <w:t xml:space="preserve">for </w:t>
      </w:r>
      <w:r>
        <w:t xml:space="preserve">the </w:t>
      </w:r>
      <w:r w:rsidRPr="00EF0374">
        <w:t>activities likely to cause significant adverse impact</w:t>
      </w:r>
      <w:r>
        <w:t>s</w:t>
      </w:r>
      <w:r w:rsidRPr="00EF0374">
        <w:t xml:space="preserve"> on the marine environment</w:t>
      </w:r>
      <w:r>
        <w:t xml:space="preserve">, </w:t>
      </w:r>
      <w:r w:rsidRPr="00EF48A3">
        <w:t xml:space="preserve">and by promoting cooperation </w:t>
      </w:r>
      <w:r>
        <w:t xml:space="preserve">between and </w:t>
      </w:r>
      <w:r w:rsidRPr="00EF48A3">
        <w:t>among the states</w:t>
      </w:r>
      <w:r>
        <w:t xml:space="preserve"> in the assessment procedures through </w:t>
      </w:r>
      <w:r w:rsidRPr="00EF48A3">
        <w:t>notification, exchange of information and consultation</w:t>
      </w:r>
      <w:r>
        <w:t xml:space="preserve"> </w:t>
      </w:r>
      <w:r w:rsidRPr="00EF48A3">
        <w:t>(</w:t>
      </w:r>
      <w:r>
        <w:t>paragraph</w:t>
      </w:r>
      <w:r w:rsidR="00811A32">
        <w:t>s</w:t>
      </w:r>
      <w:r>
        <w:t xml:space="preserve"> </w:t>
      </w:r>
      <w:r w:rsidRPr="00EF48A3">
        <w:t>3</w:t>
      </w:r>
      <w:r>
        <w:t xml:space="preserve">(c) and </w:t>
      </w:r>
      <w:r w:rsidR="00591537">
        <w:t>3</w:t>
      </w:r>
      <w:r>
        <w:t>(</w:t>
      </w:r>
      <w:r w:rsidRPr="00EF48A3">
        <w:t>d</w:t>
      </w:r>
      <w:r>
        <w:t>)</w:t>
      </w:r>
      <w:r w:rsidRPr="00EF48A3">
        <w:t xml:space="preserve">). </w:t>
      </w:r>
    </w:p>
    <w:p w14:paraId="2220EAEE" w14:textId="77777777" w:rsidR="00EF0374" w:rsidRDefault="00EF0374" w:rsidP="00EF0374">
      <w:pPr>
        <w:spacing w:after="0" w:line="240" w:lineRule="auto"/>
      </w:pPr>
    </w:p>
    <w:p w14:paraId="63E17B6F" w14:textId="77777777" w:rsidR="00EF0374" w:rsidRPr="00224725" w:rsidRDefault="00EF0374" w:rsidP="00EF0374">
      <w:pPr>
        <w:spacing w:after="0" w:line="240" w:lineRule="auto"/>
      </w:pPr>
      <w:r w:rsidRPr="00EF48A3">
        <w:t>Specific provisions of the ICZM Protocol</w:t>
      </w:r>
      <w:r w:rsidR="00AC6334">
        <w:rPr>
          <w:rStyle w:val="FootnoteReference"/>
        </w:rPr>
        <w:footnoteReference w:id="5"/>
      </w:r>
      <w:r w:rsidRPr="00EF48A3">
        <w:t xml:space="preserve"> on environmental assessments</w:t>
      </w:r>
      <w:r>
        <w:t xml:space="preserve"> </w:t>
      </w:r>
      <w:r w:rsidRPr="00EF48A3">
        <w:t xml:space="preserve">are laid down in Articles 19 and 29. Under Article 19, the Parties are invited to carry out environmental impact assessment for public and private projects as well as </w:t>
      </w:r>
      <w:r w:rsidR="00811A32" w:rsidRPr="00EF48A3">
        <w:t xml:space="preserve">strategic environmental assessment </w:t>
      </w:r>
      <w:r w:rsidRPr="00EF48A3">
        <w:t xml:space="preserve">for plans and programmes likely to have significant environmental effects on the coastal zones. </w:t>
      </w:r>
      <w:r w:rsidRPr="00224725">
        <w:t>Sensitivity of coastal/ marine environment, interrelationships between the marine and terrestrial parts, cumulative impacts and coastal zones’ carrying capacities are highlighted as issues that should be carefully considered</w:t>
      </w:r>
      <w:r w:rsidR="0007686E" w:rsidRPr="00224725">
        <w:t xml:space="preserve"> in the assessments</w:t>
      </w:r>
      <w:r w:rsidRPr="00224725">
        <w:t xml:space="preserve">.  </w:t>
      </w:r>
    </w:p>
    <w:p w14:paraId="5C493C65" w14:textId="77777777" w:rsidR="00EF0374" w:rsidRPr="00224725" w:rsidRDefault="00EF0374" w:rsidP="00EF0374">
      <w:pPr>
        <w:spacing w:after="0" w:line="240" w:lineRule="auto"/>
      </w:pPr>
    </w:p>
    <w:p w14:paraId="009EDE30" w14:textId="77777777" w:rsidR="00EF0374" w:rsidRDefault="00EF0374" w:rsidP="00EF0374">
      <w:pPr>
        <w:spacing w:after="0" w:line="240" w:lineRule="auto"/>
      </w:pPr>
      <w:r w:rsidRPr="00224725">
        <w:t>Article 29 requests the Parties to cooperate in the assessment of environmental impacts of plans, programmes and projects likely to have significant adverse effects on the coastal zones of other Parties. Notification, exchange of information and consultation are highlighted (in line with Article 4.3</w:t>
      </w:r>
      <w:r w:rsidR="00591537" w:rsidRPr="00224725">
        <w:t>(</w:t>
      </w:r>
      <w:r w:rsidRPr="00224725">
        <w:t>d</w:t>
      </w:r>
      <w:r w:rsidR="00591537" w:rsidRPr="00224725">
        <w:t>)</w:t>
      </w:r>
      <w:r w:rsidRPr="00224725">
        <w:t xml:space="preserve"> of the Convention) as the main means to deliver such cooperation and the Parties are invited to develop guidelines to detail pertinent procedures as well as to enter into bilateral or multilateral agreements to implement Article 29</w:t>
      </w:r>
      <w:r w:rsidR="0007686E" w:rsidRPr="00224725">
        <w:t xml:space="preserve"> (presented in </w:t>
      </w:r>
      <w:r w:rsidR="0007686E" w:rsidRPr="00432B53">
        <w:rPr>
          <w:color w:val="833C0B" w:themeColor="accent2" w:themeShade="80"/>
        </w:rPr>
        <w:t>Box 2-1</w:t>
      </w:r>
      <w:r w:rsidR="0007686E" w:rsidRPr="00224725">
        <w:t>)</w:t>
      </w:r>
      <w:r w:rsidRPr="00224725">
        <w:t>.</w:t>
      </w:r>
      <w:r>
        <w:t xml:space="preserve"> </w:t>
      </w:r>
    </w:p>
    <w:p w14:paraId="4733FC97" w14:textId="77777777" w:rsidR="00D87EBA" w:rsidRDefault="00D87EBA" w:rsidP="00A6304C">
      <w:pPr>
        <w:spacing w:after="0" w:line="240" w:lineRule="auto"/>
      </w:pPr>
    </w:p>
    <w:p w14:paraId="4F81F20F" w14:textId="77777777" w:rsidR="00A6304C" w:rsidRDefault="00A6304C" w:rsidP="00A6304C">
      <w:pPr>
        <w:spacing w:after="0" w:line="240" w:lineRule="auto"/>
      </w:pPr>
      <w:r w:rsidRPr="00EF48A3">
        <w:lastRenderedPageBreak/>
        <w:t>Participation and consultation requirements (</w:t>
      </w:r>
      <w:r>
        <w:t xml:space="preserve">referring </w:t>
      </w:r>
      <w:r w:rsidRPr="00EF48A3">
        <w:t>to environmental assessments</w:t>
      </w:r>
      <w:r>
        <w:t xml:space="preserve"> as well as to other processes</w:t>
      </w:r>
      <w:r w:rsidRPr="00EF48A3">
        <w:t xml:space="preserve">) are </w:t>
      </w:r>
      <w:r w:rsidR="004449C7">
        <w:t xml:space="preserve">also </w:t>
      </w:r>
      <w:r w:rsidRPr="00EF48A3">
        <w:t xml:space="preserve">addressed through </w:t>
      </w:r>
      <w:r w:rsidR="008362E9">
        <w:t xml:space="preserve">the Protocol’s </w:t>
      </w:r>
      <w:r w:rsidRPr="00EF48A3">
        <w:t>Article 6 on general principles of ICZM and Article 14 on participation</w:t>
      </w:r>
      <w:r w:rsidR="000F4BD9">
        <w:t xml:space="preserve">, the latter </w:t>
      </w:r>
      <w:r w:rsidRPr="00EF48A3">
        <w:t>calling for appropriate governance and adequate and timely involvement of various stakeholders</w:t>
      </w:r>
      <w:r>
        <w:t xml:space="preserve">; </w:t>
      </w:r>
      <w:r w:rsidRPr="00EF48A3">
        <w:t xml:space="preserve">Article 27 </w:t>
      </w:r>
      <w:r w:rsidR="000F4BD9">
        <w:t xml:space="preserve">refers to </w:t>
      </w:r>
      <w:r w:rsidRPr="00EF48A3">
        <w:t xml:space="preserve">cooperation in the exchange of information on the use of the best environmental practices. </w:t>
      </w:r>
    </w:p>
    <w:p w14:paraId="472FFC52" w14:textId="77777777" w:rsidR="0004761D" w:rsidRDefault="0004761D" w:rsidP="00A6304C">
      <w:pPr>
        <w:spacing w:after="0" w:line="240" w:lineRule="auto"/>
      </w:pPr>
    </w:p>
    <w:p w14:paraId="16EFAB96" w14:textId="35F8B75C" w:rsidR="00EF0374" w:rsidRPr="00EA70E4" w:rsidRDefault="0007686E" w:rsidP="0007686E">
      <w:pPr>
        <w:pStyle w:val="Caption"/>
        <w:spacing w:after="0"/>
        <w:rPr>
          <w:color w:val="1F4E79" w:themeColor="accent1" w:themeShade="80"/>
          <w:sz w:val="20"/>
          <w:szCs w:val="20"/>
        </w:rPr>
      </w:pPr>
      <w:r w:rsidRPr="00EA70E4">
        <w:rPr>
          <w:color w:val="1F4E79" w:themeColor="accent1" w:themeShade="80"/>
          <w:sz w:val="20"/>
          <w:szCs w:val="20"/>
        </w:rPr>
        <w:t xml:space="preserve">Box </w:t>
      </w:r>
      <w:r w:rsidR="00347274">
        <w:rPr>
          <w:color w:val="1F4E79" w:themeColor="accent1" w:themeShade="80"/>
          <w:sz w:val="20"/>
          <w:szCs w:val="20"/>
        </w:rPr>
        <w:fldChar w:fldCharType="begin"/>
      </w:r>
      <w:r w:rsidR="00347274">
        <w:rPr>
          <w:color w:val="1F4E79" w:themeColor="accent1" w:themeShade="80"/>
          <w:sz w:val="20"/>
          <w:szCs w:val="20"/>
        </w:rPr>
        <w:instrText xml:space="preserve"> STYLEREF 1 \s </w:instrText>
      </w:r>
      <w:r w:rsidR="00347274">
        <w:rPr>
          <w:color w:val="1F4E79" w:themeColor="accent1" w:themeShade="80"/>
          <w:sz w:val="20"/>
          <w:szCs w:val="20"/>
        </w:rPr>
        <w:fldChar w:fldCharType="separate"/>
      </w:r>
      <w:r w:rsidR="005A000D">
        <w:rPr>
          <w:noProof/>
          <w:color w:val="1F4E79" w:themeColor="accent1" w:themeShade="80"/>
          <w:sz w:val="20"/>
          <w:szCs w:val="20"/>
        </w:rPr>
        <w:t>2</w:t>
      </w:r>
      <w:r w:rsidR="00347274">
        <w:rPr>
          <w:color w:val="1F4E79" w:themeColor="accent1" w:themeShade="80"/>
          <w:sz w:val="20"/>
          <w:szCs w:val="20"/>
        </w:rPr>
        <w:fldChar w:fldCharType="end"/>
      </w:r>
      <w:r w:rsidR="00347274">
        <w:rPr>
          <w:color w:val="1F4E79" w:themeColor="accent1" w:themeShade="80"/>
          <w:sz w:val="20"/>
          <w:szCs w:val="20"/>
        </w:rPr>
        <w:noBreakHyphen/>
      </w:r>
      <w:r w:rsidR="00347274">
        <w:rPr>
          <w:color w:val="1F4E79" w:themeColor="accent1" w:themeShade="80"/>
          <w:sz w:val="20"/>
          <w:szCs w:val="20"/>
        </w:rPr>
        <w:fldChar w:fldCharType="begin"/>
      </w:r>
      <w:r w:rsidR="00347274">
        <w:rPr>
          <w:color w:val="1F4E79" w:themeColor="accent1" w:themeShade="80"/>
          <w:sz w:val="20"/>
          <w:szCs w:val="20"/>
        </w:rPr>
        <w:instrText xml:space="preserve"> SEQ Box \* ARABIC \s 1 </w:instrText>
      </w:r>
      <w:r w:rsidR="00347274">
        <w:rPr>
          <w:color w:val="1F4E79" w:themeColor="accent1" w:themeShade="80"/>
          <w:sz w:val="20"/>
          <w:szCs w:val="20"/>
        </w:rPr>
        <w:fldChar w:fldCharType="separate"/>
      </w:r>
      <w:r w:rsidR="005A000D">
        <w:rPr>
          <w:noProof/>
          <w:color w:val="1F4E79" w:themeColor="accent1" w:themeShade="80"/>
          <w:sz w:val="20"/>
          <w:szCs w:val="20"/>
        </w:rPr>
        <w:t>1</w:t>
      </w:r>
      <w:r w:rsidR="00347274">
        <w:rPr>
          <w:color w:val="1F4E79" w:themeColor="accent1" w:themeShade="80"/>
          <w:sz w:val="20"/>
          <w:szCs w:val="20"/>
        </w:rPr>
        <w:fldChar w:fldCharType="end"/>
      </w:r>
      <w:r w:rsidR="00EF0374" w:rsidRPr="00EA70E4">
        <w:rPr>
          <w:color w:val="1F4E79" w:themeColor="accent1" w:themeShade="80"/>
          <w:sz w:val="20"/>
          <w:szCs w:val="20"/>
        </w:rPr>
        <w:t xml:space="preserve">: Article 29 of the ICZM Protocol on transboundary environmental assessment </w:t>
      </w:r>
    </w:p>
    <w:tbl>
      <w:tblPr>
        <w:tblStyle w:val="TableGrid"/>
        <w:tblW w:w="0" w:type="auto"/>
        <w:tblLook w:val="04A0" w:firstRow="1" w:lastRow="0" w:firstColumn="1" w:lastColumn="0" w:noHBand="0" w:noVBand="1"/>
      </w:tblPr>
      <w:tblGrid>
        <w:gridCol w:w="9060"/>
      </w:tblGrid>
      <w:tr w:rsidR="00EF0374" w14:paraId="3C3276A1" w14:textId="77777777" w:rsidTr="002A2673">
        <w:tc>
          <w:tcPr>
            <w:tcW w:w="9060" w:type="dxa"/>
          </w:tcPr>
          <w:p w14:paraId="03964C26" w14:textId="77777777" w:rsidR="00EF0374" w:rsidRPr="00616AD9" w:rsidRDefault="00EF0374" w:rsidP="005028DC">
            <w:pPr>
              <w:pStyle w:val="ListParagraph"/>
              <w:numPr>
                <w:ilvl w:val="0"/>
                <w:numId w:val="3"/>
              </w:numPr>
              <w:rPr>
                <w:sz w:val="20"/>
                <w:szCs w:val="20"/>
              </w:rPr>
            </w:pPr>
            <w:r w:rsidRPr="00616AD9">
              <w:rPr>
                <w:sz w:val="20"/>
                <w:szCs w:val="20"/>
              </w:rPr>
              <w:t xml:space="preserve">Within the framework of this Protocol, the Parties shall, before authorising or approving plans, programmes and projects that are likely to have a significant adverse effect on the coastal zones of other Parties, cooperate by means of </w:t>
            </w:r>
            <w:r w:rsidRPr="00616AD9">
              <w:rPr>
                <w:sz w:val="20"/>
                <w:szCs w:val="20"/>
                <w:u w:val="single"/>
              </w:rPr>
              <w:t>notification, exchange of information and consultation in assessing the environmental impacts</w:t>
            </w:r>
            <w:r w:rsidRPr="00616AD9">
              <w:rPr>
                <w:sz w:val="20"/>
                <w:szCs w:val="20"/>
              </w:rPr>
              <w:t xml:space="preserve"> of such plans, programmes and projects, taking into account Article 19 of this Protocol and Article 4</w:t>
            </w:r>
            <w:r w:rsidR="00591537">
              <w:rPr>
                <w:sz w:val="20"/>
                <w:szCs w:val="20"/>
              </w:rPr>
              <w:t>.</w:t>
            </w:r>
            <w:r w:rsidRPr="00616AD9">
              <w:rPr>
                <w:sz w:val="20"/>
                <w:szCs w:val="20"/>
              </w:rPr>
              <w:t>3(d) of the Convention.</w:t>
            </w:r>
          </w:p>
          <w:p w14:paraId="37F3F930" w14:textId="77777777" w:rsidR="00EF0374" w:rsidRPr="00616AD9" w:rsidRDefault="00EF0374" w:rsidP="002A2673">
            <w:pPr>
              <w:pStyle w:val="ListParagraph"/>
              <w:rPr>
                <w:sz w:val="20"/>
                <w:szCs w:val="20"/>
              </w:rPr>
            </w:pPr>
          </w:p>
          <w:p w14:paraId="25AB86CC" w14:textId="77777777" w:rsidR="00EF0374" w:rsidRPr="00616AD9" w:rsidRDefault="00EF0374" w:rsidP="005028DC">
            <w:pPr>
              <w:pStyle w:val="ListParagraph"/>
              <w:numPr>
                <w:ilvl w:val="0"/>
                <w:numId w:val="3"/>
              </w:numPr>
              <w:rPr>
                <w:sz w:val="20"/>
                <w:szCs w:val="20"/>
              </w:rPr>
            </w:pPr>
            <w:r w:rsidRPr="00616AD9">
              <w:rPr>
                <w:sz w:val="20"/>
                <w:szCs w:val="20"/>
              </w:rPr>
              <w:t xml:space="preserve">To this end, the Parties undertake to cooperate in the </w:t>
            </w:r>
            <w:r w:rsidRPr="00616AD9">
              <w:rPr>
                <w:sz w:val="20"/>
                <w:szCs w:val="20"/>
                <w:u w:val="single"/>
              </w:rPr>
              <w:t xml:space="preserve">formulation and adoption of appropriate guidelines for the determination of procedures </w:t>
            </w:r>
            <w:r w:rsidRPr="00616AD9">
              <w:rPr>
                <w:sz w:val="20"/>
                <w:szCs w:val="20"/>
              </w:rPr>
              <w:t>for notification, exchange of information and consultation at all stages of the process.</w:t>
            </w:r>
          </w:p>
          <w:p w14:paraId="405F0A37" w14:textId="77777777" w:rsidR="00EF0374" w:rsidRPr="00616AD9" w:rsidRDefault="00EF0374" w:rsidP="002A2673">
            <w:pPr>
              <w:pStyle w:val="ListParagraph"/>
              <w:rPr>
                <w:sz w:val="20"/>
                <w:szCs w:val="20"/>
              </w:rPr>
            </w:pPr>
          </w:p>
          <w:p w14:paraId="1917AC1C" w14:textId="77777777" w:rsidR="00EF0374" w:rsidRDefault="00EF0374" w:rsidP="005028DC">
            <w:pPr>
              <w:pStyle w:val="ListParagraph"/>
              <w:numPr>
                <w:ilvl w:val="0"/>
                <w:numId w:val="3"/>
              </w:numPr>
            </w:pPr>
            <w:r>
              <w:rPr>
                <w:sz w:val="20"/>
                <w:szCs w:val="20"/>
              </w:rPr>
              <w:t xml:space="preserve">The </w:t>
            </w:r>
            <w:r w:rsidRPr="00616AD9">
              <w:rPr>
                <w:sz w:val="20"/>
                <w:szCs w:val="20"/>
              </w:rPr>
              <w:t xml:space="preserve">Parties may, where appropriate, </w:t>
            </w:r>
            <w:r w:rsidRPr="00616AD9">
              <w:rPr>
                <w:sz w:val="20"/>
                <w:szCs w:val="20"/>
                <w:u w:val="single"/>
              </w:rPr>
              <w:t>enter into bilateral or multilateral agreements for the effe</w:t>
            </w:r>
            <w:r>
              <w:rPr>
                <w:sz w:val="20"/>
                <w:szCs w:val="20"/>
                <w:u w:val="single"/>
              </w:rPr>
              <w:t>c</w:t>
            </w:r>
            <w:r w:rsidRPr="00616AD9">
              <w:rPr>
                <w:sz w:val="20"/>
                <w:szCs w:val="20"/>
                <w:u w:val="single"/>
              </w:rPr>
              <w:t>tive implementation of this Article</w:t>
            </w:r>
            <w:r w:rsidRPr="00616AD9">
              <w:rPr>
                <w:sz w:val="20"/>
                <w:szCs w:val="20"/>
              </w:rPr>
              <w:t>.</w:t>
            </w:r>
          </w:p>
        </w:tc>
      </w:tr>
    </w:tbl>
    <w:p w14:paraId="76FDCAC3" w14:textId="77777777" w:rsidR="00811A32" w:rsidRDefault="00811A32" w:rsidP="00811A32">
      <w:pPr>
        <w:spacing w:after="0" w:line="240" w:lineRule="auto"/>
      </w:pPr>
    </w:p>
    <w:p w14:paraId="01589799" w14:textId="77777777" w:rsidR="00A6304C" w:rsidRPr="0064084B" w:rsidRDefault="0004761D" w:rsidP="00A6304C">
      <w:pPr>
        <w:spacing w:after="0" w:line="240" w:lineRule="auto"/>
        <w:rPr>
          <w:rFonts w:cstheme="minorHAnsi"/>
          <w:color w:val="000000" w:themeColor="text1"/>
        </w:rPr>
      </w:pPr>
      <w:r w:rsidRPr="0064084B">
        <w:rPr>
          <w:color w:val="000000" w:themeColor="text1"/>
        </w:rPr>
        <w:t>For the time being, t</w:t>
      </w:r>
      <w:r w:rsidR="00A6304C" w:rsidRPr="0064084B">
        <w:rPr>
          <w:color w:val="000000" w:themeColor="text1"/>
        </w:rPr>
        <w:t xml:space="preserve">he above provisions of the BC and ICZM Protocol </w:t>
      </w:r>
      <w:r w:rsidR="00044F6F" w:rsidRPr="0064084B">
        <w:rPr>
          <w:color w:val="000000" w:themeColor="text1"/>
        </w:rPr>
        <w:t xml:space="preserve">constitute </w:t>
      </w:r>
      <w:r w:rsidRPr="0064084B">
        <w:rPr>
          <w:color w:val="000000" w:themeColor="text1"/>
        </w:rPr>
        <w:t xml:space="preserve">the only </w:t>
      </w:r>
      <w:r w:rsidR="00A6304C" w:rsidRPr="0064084B">
        <w:rPr>
          <w:color w:val="000000" w:themeColor="text1"/>
        </w:rPr>
        <w:t xml:space="preserve">regional framework applicable to the entire Mediterranean, covering also the non-UNECE </w:t>
      </w:r>
      <w:r w:rsidR="00651F6D" w:rsidRPr="0064084B">
        <w:rPr>
          <w:color w:val="000000" w:themeColor="text1"/>
        </w:rPr>
        <w:t xml:space="preserve">and </w:t>
      </w:r>
      <w:r w:rsidR="000F4BD9" w:rsidRPr="0064084B">
        <w:rPr>
          <w:color w:val="000000" w:themeColor="text1"/>
        </w:rPr>
        <w:t xml:space="preserve">non-EU </w:t>
      </w:r>
      <w:r w:rsidR="00A6304C" w:rsidRPr="0064084B">
        <w:rPr>
          <w:color w:val="000000" w:themeColor="text1"/>
        </w:rPr>
        <w:t>countries where the implementation of transboundary environmental assessments is less supported with regional guidelines and capacity building programmes</w:t>
      </w:r>
      <w:r w:rsidR="00A6304C" w:rsidRPr="0064084B">
        <w:rPr>
          <w:rFonts w:cstheme="minorHAnsi"/>
          <w:color w:val="000000" w:themeColor="text1"/>
        </w:rPr>
        <w:t xml:space="preserve"> (compared to the EU and UNECE areas). </w:t>
      </w:r>
    </w:p>
    <w:p w14:paraId="3EBC8CB1" w14:textId="77777777" w:rsidR="00A6304C" w:rsidRPr="0064084B" w:rsidRDefault="00A6304C" w:rsidP="00A6304C">
      <w:pPr>
        <w:spacing w:after="0" w:line="240" w:lineRule="auto"/>
        <w:rPr>
          <w:rFonts w:cstheme="minorHAnsi"/>
          <w:color w:val="000000" w:themeColor="text1"/>
        </w:rPr>
      </w:pPr>
    </w:p>
    <w:p w14:paraId="626E4069" w14:textId="77777777" w:rsidR="00EF0374" w:rsidRDefault="00A6304C" w:rsidP="00A6304C">
      <w:pPr>
        <w:pStyle w:val="Heading2"/>
      </w:pPr>
      <w:bookmarkStart w:id="5" w:name="_Toc5308775"/>
      <w:r>
        <w:t>UNECE Convention and SEA Protocol</w:t>
      </w:r>
      <w:bookmarkEnd w:id="5"/>
    </w:p>
    <w:p w14:paraId="3AA9E6D8" w14:textId="77777777" w:rsidR="00A6304C" w:rsidRDefault="00A6304C" w:rsidP="00AC6334">
      <w:pPr>
        <w:spacing w:after="0" w:line="240" w:lineRule="auto"/>
      </w:pPr>
    </w:p>
    <w:p w14:paraId="2309B91F" w14:textId="18B51600" w:rsidR="00BC05BF" w:rsidRDefault="00A6304C" w:rsidP="00BC05BF">
      <w:pPr>
        <w:spacing w:after="0" w:line="240" w:lineRule="auto"/>
      </w:pPr>
      <w:r>
        <w:rPr>
          <w:rFonts w:cstheme="minorHAnsi"/>
        </w:rPr>
        <w:t xml:space="preserve">Parties to the </w:t>
      </w:r>
      <w:r w:rsidRPr="00AB5A2C">
        <w:rPr>
          <w:rFonts w:cstheme="minorHAnsi"/>
        </w:rPr>
        <w:t>Convention on Environmental Impact Assessment in a Transboundary Context</w:t>
      </w:r>
      <w:r>
        <w:t xml:space="preserve"> (Espoo Convention, in force since 1997</w:t>
      </w:r>
      <w:r w:rsidR="00CE6B17">
        <w:rPr>
          <w:rStyle w:val="FootnoteReference"/>
        </w:rPr>
        <w:footnoteReference w:id="6"/>
      </w:r>
      <w:r>
        <w:t xml:space="preserve">) have committed to </w:t>
      </w:r>
      <w:r w:rsidRPr="00D86682">
        <w:t>either individually or jointly, take all appropriate and effective measures to prevent, reduce and control significant adverse transboundary environmental impact</w:t>
      </w:r>
      <w:r w:rsidR="00AC6334">
        <w:t>s</w:t>
      </w:r>
      <w:r w:rsidRPr="00D86682">
        <w:t xml:space="preserve"> from proposed activities</w:t>
      </w:r>
      <w:r w:rsidR="00AC32D8">
        <w:t xml:space="preserve"> (</w:t>
      </w:r>
      <w:r>
        <w:t>listed in Appendix</w:t>
      </w:r>
      <w:r w:rsidRPr="00B71527">
        <w:t xml:space="preserve"> I of the Convention</w:t>
      </w:r>
      <w:r w:rsidR="00AC32D8">
        <w:t>)</w:t>
      </w:r>
      <w:r w:rsidRPr="00B71527">
        <w:t xml:space="preserve">. </w:t>
      </w:r>
      <w:r w:rsidR="00CE6B17">
        <w:t xml:space="preserve">To this end, the Convention stipulates actions to be taken by the Party of </w:t>
      </w:r>
      <w:r w:rsidR="00146E78">
        <w:t xml:space="preserve">Origin </w:t>
      </w:r>
      <w:r w:rsidR="00CE6B17">
        <w:t>(</w:t>
      </w:r>
      <w:r w:rsidR="004B08EC">
        <w:t xml:space="preserve">i.e. </w:t>
      </w:r>
      <w:r w:rsidR="005D5A17" w:rsidRPr="005D5A17">
        <w:t>Party</w:t>
      </w:r>
      <w:r w:rsidR="005D5A17">
        <w:t>/</w:t>
      </w:r>
      <w:proofErr w:type="spellStart"/>
      <w:r w:rsidR="005D5A17">
        <w:t>ies</w:t>
      </w:r>
      <w:proofErr w:type="spellEnd"/>
      <w:r w:rsidR="005D5A17">
        <w:t xml:space="preserve"> </w:t>
      </w:r>
      <w:r w:rsidR="005D5A17" w:rsidRPr="005D5A17">
        <w:t>under whose jurisdiction a proposed activity is envisaged to take place</w:t>
      </w:r>
      <w:r w:rsidR="00CE6B17">
        <w:t xml:space="preserve">) and Affected </w:t>
      </w:r>
      <w:r w:rsidR="00146E78">
        <w:t xml:space="preserve">Party </w:t>
      </w:r>
      <w:r w:rsidR="005D5A17">
        <w:t>(</w:t>
      </w:r>
      <w:r w:rsidR="005D5A17" w:rsidRPr="005D5A17">
        <w:t>Party</w:t>
      </w:r>
      <w:r w:rsidR="005D5A17">
        <w:t>/</w:t>
      </w:r>
      <w:proofErr w:type="spellStart"/>
      <w:r w:rsidR="005D5A17">
        <w:t>ies</w:t>
      </w:r>
      <w:proofErr w:type="spellEnd"/>
      <w:r w:rsidR="005D5A17">
        <w:t xml:space="preserve"> </w:t>
      </w:r>
      <w:r w:rsidR="005D5A17" w:rsidRPr="005D5A17">
        <w:t>likely to be affected by the transboundary impact of a proposed activity</w:t>
      </w:r>
      <w:r w:rsidR="005D5A17">
        <w:t xml:space="preserve">) </w:t>
      </w:r>
      <w:r w:rsidR="00CE6B17">
        <w:t>in all the steps of the assessment procedure</w:t>
      </w:r>
      <w:r w:rsidR="007C6CF1">
        <w:t xml:space="preserve">: </w:t>
      </w:r>
      <w:r w:rsidR="00CE6B17">
        <w:t xml:space="preserve">notification, consultations, preparation of EIA documentation, final decision and post project analysis. </w:t>
      </w:r>
      <w:r w:rsidRPr="00B71527">
        <w:t xml:space="preserve">The Convention also caters for situations where projects </w:t>
      </w:r>
      <w:r>
        <w:t xml:space="preserve">other </w:t>
      </w:r>
      <w:r w:rsidRPr="00B71527">
        <w:t xml:space="preserve">than those listed in the </w:t>
      </w:r>
      <w:r>
        <w:t>Appendix I</w:t>
      </w:r>
      <w:r w:rsidRPr="00B71527">
        <w:t xml:space="preserve"> are identified as potentially likely to give rise to significant transboundary environmental impacts.</w:t>
      </w:r>
      <w:r w:rsidR="00CE6B17">
        <w:t xml:space="preserve"> </w:t>
      </w:r>
      <w:r w:rsidR="00416BC4">
        <w:t xml:space="preserve"> </w:t>
      </w:r>
    </w:p>
    <w:p w14:paraId="470FAD22" w14:textId="77777777" w:rsidR="005D5A17" w:rsidRDefault="005D5A17" w:rsidP="00BC05BF">
      <w:pPr>
        <w:spacing w:after="0" w:line="240" w:lineRule="auto"/>
      </w:pPr>
    </w:p>
    <w:p w14:paraId="3F71C725" w14:textId="73CBE1F5" w:rsidR="00CC0C4E" w:rsidRDefault="00146E78" w:rsidP="00D81343">
      <w:pPr>
        <w:spacing w:after="0" w:line="240" w:lineRule="auto"/>
      </w:pPr>
      <w:r>
        <w:t xml:space="preserve">The </w:t>
      </w:r>
      <w:r w:rsidR="007C6CF1">
        <w:t xml:space="preserve">Espoo Convention </w:t>
      </w:r>
      <w:r w:rsidR="00651F6D">
        <w:t xml:space="preserve">allows </w:t>
      </w:r>
      <w:r w:rsidR="007C6CF1">
        <w:t xml:space="preserve">the Parties to enter into bilateral or multilateral agreements to implement their obligations under the Convention, </w:t>
      </w:r>
      <w:r w:rsidR="00651F6D">
        <w:t xml:space="preserve">to regulate in more detail </w:t>
      </w:r>
      <w:r w:rsidR="00D32EC8">
        <w:t>i</w:t>
      </w:r>
      <w:r w:rsidR="007C6CF1" w:rsidRPr="007C6CF1">
        <w:t>nstitutional, administrative and other arrangements</w:t>
      </w:r>
      <w:r w:rsidR="007C6CF1">
        <w:t xml:space="preserve">, assessment and data collection methods, </w:t>
      </w:r>
      <w:r w:rsidR="00D32EC8" w:rsidRPr="00D32EC8">
        <w:t>criteria for defining the significance of transboundary impacts</w:t>
      </w:r>
      <w:r w:rsidR="00D32EC8">
        <w:t xml:space="preserve">, and other elements. A </w:t>
      </w:r>
      <w:r w:rsidR="007C6CF1">
        <w:t xml:space="preserve">multilateral agreement </w:t>
      </w:r>
      <w:r w:rsidR="00CA750C">
        <w:t xml:space="preserve">adopted under </w:t>
      </w:r>
      <w:r w:rsidR="00775787">
        <w:t xml:space="preserve">the </w:t>
      </w:r>
      <w:r w:rsidR="00CA750C">
        <w:t xml:space="preserve">Espoo Convention that is </w:t>
      </w:r>
      <w:r w:rsidR="00D32EC8">
        <w:t xml:space="preserve">of particular relevance </w:t>
      </w:r>
      <w:r w:rsidR="007C6CF1">
        <w:t xml:space="preserve">to the Mediterranean region is </w:t>
      </w:r>
      <w:r w:rsidR="00D32EC8">
        <w:t>the Bucharest Agreement (</w:t>
      </w:r>
      <w:r w:rsidR="00CA750C">
        <w:t xml:space="preserve">from </w:t>
      </w:r>
      <w:r w:rsidR="00D32EC8">
        <w:t>2008)</w:t>
      </w:r>
      <w:r w:rsidR="00CA750C">
        <w:t xml:space="preserve">. </w:t>
      </w:r>
      <w:r w:rsidR="00CC0C4E">
        <w:t xml:space="preserve">The aim of this Agreement </w:t>
      </w:r>
      <w:r w:rsidR="00CA750C">
        <w:t xml:space="preserve">concluded among the countries of south-eastern Europe </w:t>
      </w:r>
      <w:r w:rsidR="00CC0C4E">
        <w:t xml:space="preserve">is to </w:t>
      </w:r>
      <w:r w:rsidR="00CA750C">
        <w:t xml:space="preserve">set </w:t>
      </w:r>
      <w:r w:rsidR="00CC0C4E">
        <w:t xml:space="preserve">clear, transparent and effective </w:t>
      </w:r>
      <w:r w:rsidR="00D81343">
        <w:t xml:space="preserve">transboundary EIA procedures by regulating in more detail: </w:t>
      </w:r>
      <w:r w:rsidR="00CC0C4E">
        <w:t>notification procedures; adoption of criteria for the identification of significant adverse transboundary impacts;</w:t>
      </w:r>
      <w:r w:rsidR="00352751">
        <w:t xml:space="preserve"> establishment of </w:t>
      </w:r>
      <w:proofErr w:type="spellStart"/>
      <w:r w:rsidR="00352751">
        <w:t>tim</w:t>
      </w:r>
      <w:proofErr w:type="spellEnd"/>
      <w:r w:rsidR="00D81343">
        <w:t xml:space="preserve"> frame for the affected Party to </w:t>
      </w:r>
      <w:r w:rsidR="00D81343">
        <w:lastRenderedPageBreak/>
        <w:t xml:space="preserve">respond to notification; availability/ translation of the relevant documentation; and other relevant </w:t>
      </w:r>
      <w:r w:rsidR="00775787">
        <w:t>matters</w:t>
      </w:r>
      <w:r w:rsidR="00D81343">
        <w:t xml:space="preserve">. </w:t>
      </w:r>
    </w:p>
    <w:p w14:paraId="0AF1AF76" w14:textId="77777777" w:rsidR="005D5A17" w:rsidRDefault="005D5A17" w:rsidP="00BC05BF">
      <w:pPr>
        <w:spacing w:after="0" w:line="240" w:lineRule="auto"/>
      </w:pPr>
    </w:p>
    <w:p w14:paraId="74E4ED3F" w14:textId="77777777" w:rsidR="00A6304C" w:rsidRDefault="00146E78" w:rsidP="00A6304C">
      <w:pPr>
        <w:spacing w:after="0" w:line="240" w:lineRule="auto"/>
      </w:pPr>
      <w:r>
        <w:t xml:space="preserve">The </w:t>
      </w:r>
      <w:r w:rsidR="00A6304C" w:rsidRPr="00B71527">
        <w:t xml:space="preserve">Kiev Protocol </w:t>
      </w:r>
      <w:r w:rsidR="00A6304C">
        <w:t xml:space="preserve">on Strategic Environmental Assessment (in force since 2010) </w:t>
      </w:r>
      <w:r w:rsidR="00A6304C" w:rsidRPr="00B71527">
        <w:t xml:space="preserve">seeks </w:t>
      </w:r>
      <w:r w:rsidR="00A6304C">
        <w:t>to provide for a high level of environment</w:t>
      </w:r>
      <w:r w:rsidR="00CA750C">
        <w:t>al</w:t>
      </w:r>
      <w:r w:rsidR="00A6304C">
        <w:t xml:space="preserve"> protection by ensuring that environmental, including health, considerations are taken into account in the de</w:t>
      </w:r>
      <w:r w:rsidR="004E36D9">
        <w:t xml:space="preserve">velopment of plans and programs/ </w:t>
      </w:r>
      <w:r w:rsidR="00A6304C">
        <w:t>preparation of policies and legislation. It also establishes clear, transparent and effective procedures for strategic environmental assessment. Article 10 of the Kiev Protocol is dedicated to transboundary consultations mirroring the process established in the Espoo Convention.</w:t>
      </w:r>
    </w:p>
    <w:p w14:paraId="0D6E909C" w14:textId="77777777" w:rsidR="00E53FD2" w:rsidRDefault="00E53FD2" w:rsidP="00811A32">
      <w:pPr>
        <w:spacing w:after="0" w:line="240" w:lineRule="auto"/>
      </w:pPr>
    </w:p>
    <w:p w14:paraId="65AE7AED" w14:textId="77777777" w:rsidR="00A6304C" w:rsidRDefault="000229F0" w:rsidP="00811A32">
      <w:pPr>
        <w:spacing w:after="0" w:line="240" w:lineRule="auto"/>
      </w:pPr>
      <w:r w:rsidRPr="00C91219">
        <w:t xml:space="preserve">The requirements </w:t>
      </w:r>
      <w:r w:rsidR="00BC05BF">
        <w:t xml:space="preserve">of the </w:t>
      </w:r>
      <w:r w:rsidR="00BC05BF" w:rsidRPr="00224725">
        <w:t xml:space="preserve">UNECE instruments </w:t>
      </w:r>
      <w:r w:rsidRPr="00224725">
        <w:t>ref</w:t>
      </w:r>
      <w:r w:rsidR="00D81343" w:rsidRPr="00224725">
        <w:t xml:space="preserve">er to </w:t>
      </w:r>
      <w:r w:rsidRPr="00224725">
        <w:t>different steps of the EIA and SEA processes</w:t>
      </w:r>
      <w:r w:rsidR="00BC05BF" w:rsidRPr="00224725">
        <w:t xml:space="preserve"> </w:t>
      </w:r>
      <w:r w:rsidRPr="00224725">
        <w:t>aim</w:t>
      </w:r>
      <w:r w:rsidR="00BC05BF" w:rsidRPr="00224725">
        <w:t xml:space="preserve">ing </w:t>
      </w:r>
      <w:r w:rsidRPr="00224725">
        <w:t xml:space="preserve">to ensure that the public and authorities of the areas likely to be affected by transboundary impacts have an equitable opportunity to participate in the decision making process </w:t>
      </w:r>
      <w:r w:rsidR="00BC05BF" w:rsidRPr="00224725">
        <w:t xml:space="preserve">for </w:t>
      </w:r>
      <w:r w:rsidRPr="00224725">
        <w:t xml:space="preserve">the respective project, plan or programme. </w:t>
      </w:r>
      <w:r w:rsidR="00A6304C" w:rsidRPr="00224725">
        <w:t>The main provisions of the two UNECE instruments pertaining to co-operation in the assessments</w:t>
      </w:r>
      <w:r w:rsidR="00A6304C">
        <w:t xml:space="preserve"> of transboundary impacts are presented in </w:t>
      </w:r>
      <w:r w:rsidR="00EA70E4" w:rsidRPr="00432B53">
        <w:rPr>
          <w:color w:val="833C0B" w:themeColor="accent2" w:themeShade="80"/>
        </w:rPr>
        <w:t xml:space="preserve">Annex 1, </w:t>
      </w:r>
      <w:r w:rsidR="00A6304C" w:rsidRPr="00432B53">
        <w:rPr>
          <w:color w:val="833C0B" w:themeColor="accent2" w:themeShade="80"/>
        </w:rPr>
        <w:t xml:space="preserve">Table </w:t>
      </w:r>
      <w:r w:rsidR="00EA70E4" w:rsidRPr="00432B53">
        <w:rPr>
          <w:color w:val="833C0B" w:themeColor="accent2" w:themeShade="80"/>
        </w:rPr>
        <w:t>1</w:t>
      </w:r>
      <w:r w:rsidR="008A3DF8" w:rsidRPr="00432B53">
        <w:rPr>
          <w:color w:val="833C0B" w:themeColor="accent2" w:themeShade="80"/>
        </w:rPr>
        <w:t>,</w:t>
      </w:r>
      <w:r w:rsidR="008A3DF8">
        <w:t xml:space="preserve"> and were</w:t>
      </w:r>
      <w:r w:rsidR="009B7712">
        <w:t xml:space="preserve"> used, together with </w:t>
      </w:r>
      <w:r w:rsidR="004E36D9">
        <w:t xml:space="preserve">an overview of </w:t>
      </w:r>
      <w:r w:rsidR="009B7712">
        <w:t xml:space="preserve">current implementation practices, as a </w:t>
      </w:r>
      <w:r w:rsidR="008A3DF8">
        <w:t>primary</w:t>
      </w:r>
      <w:r w:rsidR="009B7712">
        <w:t xml:space="preserve"> source for drafting this Guidelines; provisions of Bucharest Agreement were used to this end too. </w:t>
      </w:r>
      <w:r w:rsidR="008A3DF8">
        <w:t xml:space="preserve"> </w:t>
      </w:r>
    </w:p>
    <w:p w14:paraId="71AEB029" w14:textId="77777777" w:rsidR="000229F0" w:rsidRDefault="000229F0" w:rsidP="00811A32">
      <w:pPr>
        <w:spacing w:after="0" w:line="240" w:lineRule="auto"/>
      </w:pPr>
    </w:p>
    <w:p w14:paraId="55A8FB78" w14:textId="77777777" w:rsidR="004E3E11" w:rsidRDefault="004E3E11" w:rsidP="00811A32">
      <w:pPr>
        <w:pStyle w:val="Heading2"/>
        <w:spacing w:before="0" w:line="240" w:lineRule="auto"/>
      </w:pPr>
      <w:bookmarkStart w:id="6" w:name="_Toc5308776"/>
      <w:r w:rsidRPr="00615099">
        <w:t>EU Directives</w:t>
      </w:r>
      <w:bookmarkEnd w:id="6"/>
    </w:p>
    <w:p w14:paraId="4EC41E0F" w14:textId="77777777" w:rsidR="00193749" w:rsidRDefault="00193749" w:rsidP="00811A32">
      <w:pPr>
        <w:spacing w:after="0" w:line="240" w:lineRule="auto"/>
      </w:pPr>
    </w:p>
    <w:p w14:paraId="54C1FBC4" w14:textId="77777777" w:rsidR="00193749" w:rsidRDefault="00193749" w:rsidP="00422C66">
      <w:pPr>
        <w:spacing w:after="0" w:line="240" w:lineRule="auto"/>
      </w:pPr>
      <w:r>
        <w:t xml:space="preserve">In the BC Contracting Parties members of the EU, environmental assessments are regulated </w:t>
      </w:r>
      <w:r w:rsidR="002A2673">
        <w:t xml:space="preserve">under </w:t>
      </w:r>
      <w:r w:rsidR="00A6304C">
        <w:t xml:space="preserve">the </w:t>
      </w:r>
      <w:r w:rsidR="002A2673">
        <w:t>SEA and EIA Directives</w:t>
      </w:r>
      <w:r w:rsidR="004E36D9">
        <w:t>, i.e. under</w:t>
      </w:r>
      <w:r w:rsidR="002A2673">
        <w:t xml:space="preserve">: </w:t>
      </w:r>
    </w:p>
    <w:p w14:paraId="30E471A2" w14:textId="77777777" w:rsidR="002A2673" w:rsidRPr="00FC4EDA" w:rsidRDefault="002A2673" w:rsidP="005028DC">
      <w:pPr>
        <w:numPr>
          <w:ilvl w:val="0"/>
          <w:numId w:val="4"/>
        </w:numPr>
        <w:tabs>
          <w:tab w:val="clear" w:pos="720"/>
        </w:tabs>
        <w:spacing w:after="0" w:line="240" w:lineRule="auto"/>
        <w:ind w:left="709" w:hanging="425"/>
        <w:jc w:val="both"/>
        <w:textAlignment w:val="baseline"/>
        <w:rPr>
          <w:rFonts w:cstheme="minorHAnsi"/>
        </w:rPr>
      </w:pPr>
      <w:r w:rsidRPr="00FC4EDA">
        <w:rPr>
          <w:rFonts w:cstheme="minorHAnsi"/>
        </w:rPr>
        <w:t>Directive 2001/42/EC on the assessment of the effects of certain plans and programmes on the environment (in force since 2001)</w:t>
      </w:r>
      <w:r>
        <w:rPr>
          <w:rFonts w:cstheme="minorHAnsi"/>
        </w:rPr>
        <w:t xml:space="preserve">; and </w:t>
      </w:r>
    </w:p>
    <w:p w14:paraId="46E82F1D" w14:textId="77777777" w:rsidR="002A2673" w:rsidRDefault="002A2673" w:rsidP="005028DC">
      <w:pPr>
        <w:numPr>
          <w:ilvl w:val="0"/>
          <w:numId w:val="4"/>
        </w:numPr>
        <w:tabs>
          <w:tab w:val="clear" w:pos="720"/>
        </w:tabs>
        <w:spacing w:after="0" w:line="240" w:lineRule="auto"/>
        <w:ind w:left="709" w:hanging="425"/>
        <w:jc w:val="both"/>
        <w:textAlignment w:val="baseline"/>
        <w:rPr>
          <w:rFonts w:cstheme="minorHAnsi"/>
        </w:rPr>
      </w:pPr>
      <w:r w:rsidRPr="00FC4EDA">
        <w:rPr>
          <w:rFonts w:cstheme="minorHAnsi"/>
        </w:rPr>
        <w:t>Directive 2014/52/EU on the assessment of the effects of certain public and private projects on the environment (original</w:t>
      </w:r>
      <w:r>
        <w:rPr>
          <w:rFonts w:cstheme="minorHAnsi"/>
        </w:rPr>
        <w:t xml:space="preserve"> Directive in force since 1985). </w:t>
      </w:r>
    </w:p>
    <w:p w14:paraId="54644E84" w14:textId="77777777" w:rsidR="002A2673" w:rsidRDefault="002A2673" w:rsidP="00422C66">
      <w:pPr>
        <w:spacing w:after="0" w:line="240" w:lineRule="auto"/>
        <w:jc w:val="both"/>
        <w:textAlignment w:val="baseline"/>
        <w:rPr>
          <w:rFonts w:cstheme="minorHAnsi"/>
        </w:rPr>
      </w:pPr>
    </w:p>
    <w:p w14:paraId="2724F5C5" w14:textId="77777777" w:rsidR="00651F6D" w:rsidRDefault="002A2673" w:rsidP="00422C66">
      <w:pPr>
        <w:spacing w:after="0" w:line="240" w:lineRule="auto"/>
      </w:pPr>
      <w:r>
        <w:t>Both Directives contain provisions on assessments</w:t>
      </w:r>
      <w:r w:rsidR="00AC32D8">
        <w:t xml:space="preserve"> in a transboundary context</w:t>
      </w:r>
      <w:r w:rsidR="00D81343">
        <w:t xml:space="preserve"> (</w:t>
      </w:r>
      <w:r>
        <w:t xml:space="preserve">as presented in </w:t>
      </w:r>
      <w:r w:rsidR="00A644AF" w:rsidRPr="00432B53">
        <w:rPr>
          <w:color w:val="833C0B" w:themeColor="accent2" w:themeShade="80"/>
        </w:rPr>
        <w:t xml:space="preserve">Annex 1, </w:t>
      </w:r>
      <w:r w:rsidRPr="00432B53">
        <w:rPr>
          <w:color w:val="833C0B" w:themeColor="accent2" w:themeShade="80"/>
        </w:rPr>
        <w:t>Table</w:t>
      </w:r>
      <w:r w:rsidR="00C11755" w:rsidRPr="00432B53">
        <w:rPr>
          <w:color w:val="833C0B" w:themeColor="accent2" w:themeShade="80"/>
        </w:rPr>
        <w:t xml:space="preserve"> 2</w:t>
      </w:r>
      <w:r w:rsidR="00D81343" w:rsidRPr="00432B53">
        <w:rPr>
          <w:color w:val="833C0B" w:themeColor="accent2" w:themeShade="80"/>
        </w:rPr>
        <w:t>)</w:t>
      </w:r>
      <w:r w:rsidR="00D81343">
        <w:rPr>
          <w:color w:val="C00000"/>
        </w:rPr>
        <w:t xml:space="preserve">, </w:t>
      </w:r>
      <w:r>
        <w:t>consistent with those of the Espoo Convention and Kiev Protocol</w:t>
      </w:r>
      <w:r w:rsidR="00664540">
        <w:t xml:space="preserve">. </w:t>
      </w:r>
      <w:r w:rsidR="008A3DF8">
        <w:t xml:space="preserve">Responsibilities </w:t>
      </w:r>
      <w:r w:rsidR="004120C5">
        <w:t xml:space="preserve">of Member States where </w:t>
      </w:r>
      <w:r w:rsidR="00146E78">
        <w:t xml:space="preserve">the </w:t>
      </w:r>
      <w:r w:rsidR="004120C5">
        <w:t xml:space="preserve">project is intended (or plan/ programme prepared) </w:t>
      </w:r>
      <w:r w:rsidR="008A3DF8">
        <w:t xml:space="preserve">and of those </w:t>
      </w:r>
      <w:r w:rsidR="004120C5">
        <w:t>affected are specified in relati</w:t>
      </w:r>
      <w:r w:rsidR="00645549">
        <w:t xml:space="preserve">on to the notification process and </w:t>
      </w:r>
      <w:r w:rsidR="004120C5">
        <w:t xml:space="preserve">documentation, consultations, and information on the decision.  </w:t>
      </w:r>
    </w:p>
    <w:p w14:paraId="7619B85E" w14:textId="77777777" w:rsidR="00854617" w:rsidRDefault="00854617" w:rsidP="00422C66">
      <w:pPr>
        <w:spacing w:after="0" w:line="240" w:lineRule="auto"/>
      </w:pPr>
    </w:p>
    <w:p w14:paraId="12D3CF37" w14:textId="77777777" w:rsidR="0098328E" w:rsidRDefault="0098328E" w:rsidP="00422C66">
      <w:pPr>
        <w:spacing w:after="0" w:line="240" w:lineRule="auto"/>
      </w:pPr>
      <w:r w:rsidRPr="0098328E">
        <w:t>The</w:t>
      </w:r>
      <w:r w:rsidR="002A2673">
        <w:t xml:space="preserve"> EU</w:t>
      </w:r>
      <w:r w:rsidR="00664540">
        <w:t xml:space="preserve"> Directives</w:t>
      </w:r>
      <w:r w:rsidR="00AC32D8">
        <w:t xml:space="preserve"> and their provisions on transboundary assessments</w:t>
      </w:r>
      <w:r w:rsidR="00664540">
        <w:t xml:space="preserve"> may also be of relevance </w:t>
      </w:r>
      <w:r w:rsidR="00F1301E">
        <w:t xml:space="preserve">for </w:t>
      </w:r>
      <w:r w:rsidR="00AC32D8">
        <w:t>C</w:t>
      </w:r>
      <w:r w:rsidRPr="0098328E">
        <w:t xml:space="preserve">andidate </w:t>
      </w:r>
      <w:r w:rsidR="00AC32D8">
        <w:t>C</w:t>
      </w:r>
      <w:r w:rsidRPr="0098328E">
        <w:t>ountries</w:t>
      </w:r>
      <w:r w:rsidR="002A2673">
        <w:t xml:space="preserve">, </w:t>
      </w:r>
      <w:r w:rsidRPr="0098328E">
        <w:t>potential candidates and countries covered by the EU neighbourhood policy</w:t>
      </w:r>
      <w:r w:rsidR="002A2673">
        <w:t xml:space="preserve">, as well as for the </w:t>
      </w:r>
      <w:r w:rsidRPr="0098328E">
        <w:t>EU co</w:t>
      </w:r>
      <w:r w:rsidR="002A2673">
        <w:t>-</w:t>
      </w:r>
      <w:r w:rsidRPr="0098328E">
        <w:t>financed projects where EU Member States are involved</w:t>
      </w:r>
      <w:r w:rsidR="00664540">
        <w:t xml:space="preserve"> (</w:t>
      </w:r>
      <w:r w:rsidR="008A3DF8">
        <w:t xml:space="preserve">this due to the </w:t>
      </w:r>
      <w:r w:rsidR="00664540">
        <w:t>accession process and/ or specific project requirements)</w:t>
      </w:r>
      <w:r w:rsidRPr="0098328E">
        <w:t>.</w:t>
      </w:r>
      <w:r w:rsidR="00F1301E">
        <w:t xml:space="preserve"> </w:t>
      </w:r>
      <w:r w:rsidR="00157957">
        <w:t xml:space="preserve">For this reason (as well as for the fact there is extensive experience with the use of SEA and EIA in the EU Member States), </w:t>
      </w:r>
      <w:r w:rsidR="00664540">
        <w:t xml:space="preserve">the EU environmental assessment regulations and practice with their implementation were </w:t>
      </w:r>
      <w:r w:rsidR="00DD4396">
        <w:t xml:space="preserve">also </w:t>
      </w:r>
      <w:r w:rsidR="00664540">
        <w:t>used as a</w:t>
      </w:r>
      <w:r w:rsidR="00DD4396">
        <w:t xml:space="preserve">n important </w:t>
      </w:r>
      <w:r w:rsidR="00664540">
        <w:t>source for drafting the</w:t>
      </w:r>
      <w:r w:rsidR="009B7712">
        <w:t xml:space="preserve"> present</w:t>
      </w:r>
      <w:r w:rsidR="00664540">
        <w:t xml:space="preserve"> Guidelines applicable to the entire Mediterranean. </w:t>
      </w:r>
      <w:r w:rsidR="00F1301E">
        <w:t xml:space="preserve"> </w:t>
      </w:r>
      <w:r w:rsidRPr="0098328E">
        <w:t xml:space="preserve"> </w:t>
      </w:r>
    </w:p>
    <w:p w14:paraId="62C13517" w14:textId="77777777" w:rsidR="00B80007" w:rsidRPr="00615099" w:rsidRDefault="00B80007" w:rsidP="0098328E">
      <w:pPr>
        <w:pStyle w:val="Heading1"/>
      </w:pPr>
      <w:bookmarkStart w:id="7" w:name="_Toc5308777"/>
      <w:r w:rsidRPr="008652FC">
        <w:t>Policy framework of the B</w:t>
      </w:r>
      <w:r w:rsidR="00DE4F3B">
        <w:t>arcelona Convention</w:t>
      </w:r>
      <w:bookmarkEnd w:id="7"/>
      <w:r w:rsidRPr="00615099">
        <w:t xml:space="preserve"> </w:t>
      </w:r>
    </w:p>
    <w:p w14:paraId="291E9178" w14:textId="77777777" w:rsidR="00527AD3" w:rsidRPr="00494656" w:rsidRDefault="00527AD3" w:rsidP="00494656">
      <w:pPr>
        <w:spacing w:after="0" w:line="240" w:lineRule="auto"/>
        <w:rPr>
          <w:rFonts w:cstheme="minorHAnsi"/>
        </w:rPr>
      </w:pPr>
    </w:p>
    <w:p w14:paraId="14BF6178" w14:textId="190D3271" w:rsidR="007D48ED" w:rsidRPr="00674C2E" w:rsidRDefault="00B0377A" w:rsidP="00494656">
      <w:pPr>
        <w:spacing w:after="0" w:line="240" w:lineRule="auto"/>
        <w:rPr>
          <w:rFonts w:cstheme="minorHAnsi"/>
          <w:color w:val="000000" w:themeColor="text1"/>
        </w:rPr>
      </w:pPr>
      <w:r w:rsidRPr="00674C2E">
        <w:rPr>
          <w:rFonts w:cstheme="minorHAnsi"/>
          <w:color w:val="000000" w:themeColor="text1"/>
        </w:rPr>
        <w:t>Integrated management, preservation of Mediterranean ecosystems and sustainable development represent cornerstones of the BC policy framework</w:t>
      </w:r>
      <w:r w:rsidR="007D48ED" w:rsidRPr="00674C2E">
        <w:rPr>
          <w:rFonts w:cstheme="minorHAnsi"/>
          <w:color w:val="000000" w:themeColor="text1"/>
        </w:rPr>
        <w:t xml:space="preserve">. The environmental assessments are seen as tools that can significantly aid the delivery of policy objectives in these areas, including objectives of the ICZM Protocol, achievement of </w:t>
      </w:r>
      <w:r w:rsidR="00527AD3" w:rsidRPr="00674C2E">
        <w:rPr>
          <w:rFonts w:cstheme="minorHAnsi"/>
          <w:color w:val="000000" w:themeColor="text1"/>
        </w:rPr>
        <w:t>GES</w:t>
      </w:r>
      <w:r w:rsidR="00C410B9" w:rsidRPr="00674C2E">
        <w:rPr>
          <w:rFonts w:cstheme="minorHAnsi"/>
          <w:color w:val="000000" w:themeColor="text1"/>
        </w:rPr>
        <w:t xml:space="preserve"> as the ultimate goal of </w:t>
      </w:r>
      <w:r w:rsidR="00706A0F" w:rsidRPr="00674C2E">
        <w:rPr>
          <w:rFonts w:cstheme="minorHAnsi"/>
          <w:color w:val="000000" w:themeColor="text1"/>
        </w:rPr>
        <w:t>e</w:t>
      </w:r>
      <w:r w:rsidR="00C410B9" w:rsidRPr="00674C2E">
        <w:rPr>
          <w:rFonts w:cstheme="minorHAnsi"/>
          <w:color w:val="000000" w:themeColor="text1"/>
        </w:rPr>
        <w:t>cosystem</w:t>
      </w:r>
      <w:r w:rsidR="00706A0F" w:rsidRPr="00674C2E">
        <w:rPr>
          <w:rFonts w:cstheme="minorHAnsi"/>
          <w:color w:val="000000" w:themeColor="text1"/>
        </w:rPr>
        <w:t>-based management</w:t>
      </w:r>
      <w:r w:rsidR="00527AD3" w:rsidRPr="00674C2E">
        <w:rPr>
          <w:rStyle w:val="FootnoteReference"/>
          <w:rFonts w:cstheme="minorHAnsi"/>
          <w:color w:val="000000" w:themeColor="text1"/>
        </w:rPr>
        <w:footnoteReference w:id="7"/>
      </w:r>
      <w:r w:rsidR="00C410B9" w:rsidRPr="00674C2E">
        <w:rPr>
          <w:rFonts w:cstheme="minorHAnsi"/>
          <w:color w:val="000000" w:themeColor="text1"/>
        </w:rPr>
        <w:t xml:space="preserve">, </w:t>
      </w:r>
      <w:r w:rsidR="007D48ED" w:rsidRPr="00674C2E">
        <w:rPr>
          <w:rFonts w:cstheme="minorHAnsi"/>
          <w:color w:val="000000" w:themeColor="text1"/>
        </w:rPr>
        <w:t xml:space="preserve">and </w:t>
      </w:r>
      <w:r w:rsidR="007D48ED" w:rsidRPr="00674C2E">
        <w:rPr>
          <w:rFonts w:cstheme="minorHAnsi"/>
          <w:color w:val="000000" w:themeColor="text1"/>
        </w:rPr>
        <w:lastRenderedPageBreak/>
        <w:t xml:space="preserve">objectives of the </w:t>
      </w:r>
      <w:r w:rsidR="00527AD3" w:rsidRPr="00674C2E">
        <w:rPr>
          <w:rFonts w:cstheme="minorHAnsi"/>
          <w:color w:val="000000" w:themeColor="text1"/>
        </w:rPr>
        <w:t xml:space="preserve">Mediterranean Strategy for Sustainable Development </w:t>
      </w:r>
      <w:r w:rsidR="00B966AA">
        <w:rPr>
          <w:rFonts w:cstheme="minorHAnsi"/>
          <w:color w:val="000000" w:themeColor="text1"/>
        </w:rPr>
        <w:t xml:space="preserve">(MSSD) </w:t>
      </w:r>
      <w:r w:rsidR="00527AD3" w:rsidRPr="00674C2E">
        <w:rPr>
          <w:rFonts w:cstheme="minorHAnsi"/>
          <w:color w:val="000000" w:themeColor="text1"/>
        </w:rPr>
        <w:t xml:space="preserve">2016-2025. </w:t>
      </w:r>
      <w:r w:rsidR="00FF372C" w:rsidRPr="00674C2E">
        <w:rPr>
          <w:rFonts w:cstheme="minorHAnsi"/>
          <w:color w:val="000000" w:themeColor="text1"/>
        </w:rPr>
        <w:t>The essence of the ecosystem-based management is to address the coastal zone as a continuum made of land and sea space, preserv</w:t>
      </w:r>
      <w:r w:rsidR="00775787">
        <w:rPr>
          <w:rFonts w:cstheme="minorHAnsi"/>
          <w:color w:val="000000" w:themeColor="text1"/>
        </w:rPr>
        <w:t xml:space="preserve">ation of </w:t>
      </w:r>
      <w:r w:rsidR="00FF372C" w:rsidRPr="00674C2E">
        <w:rPr>
          <w:rFonts w:cstheme="minorHAnsi"/>
          <w:color w:val="000000" w:themeColor="text1"/>
        </w:rPr>
        <w:t>the integrity of its ecosystems and dealing with the processes that occur</w:t>
      </w:r>
      <w:r w:rsidR="001D631D">
        <w:rPr>
          <w:rFonts w:cstheme="minorHAnsi"/>
          <w:color w:val="000000" w:themeColor="text1"/>
        </w:rPr>
        <w:t xml:space="preserve">/ </w:t>
      </w:r>
      <w:r w:rsidR="00557EE9" w:rsidRPr="00674C2E">
        <w:rPr>
          <w:rFonts w:cstheme="minorHAnsi"/>
          <w:color w:val="000000" w:themeColor="text1"/>
        </w:rPr>
        <w:t xml:space="preserve">affect </w:t>
      </w:r>
      <w:r w:rsidR="00FF372C" w:rsidRPr="00674C2E">
        <w:rPr>
          <w:rFonts w:cstheme="minorHAnsi"/>
          <w:color w:val="000000" w:themeColor="text1"/>
        </w:rPr>
        <w:t>them in an integrated manner</w:t>
      </w:r>
      <w:r w:rsidR="00E45BD5" w:rsidRPr="00674C2E">
        <w:rPr>
          <w:rFonts w:cstheme="minorHAnsi"/>
          <w:color w:val="000000" w:themeColor="text1"/>
        </w:rPr>
        <w:t xml:space="preserve">. </w:t>
      </w:r>
      <w:r w:rsidR="00157957">
        <w:rPr>
          <w:rFonts w:cstheme="minorHAnsi"/>
          <w:color w:val="000000" w:themeColor="text1"/>
        </w:rPr>
        <w:t xml:space="preserve">Various </w:t>
      </w:r>
      <w:r w:rsidR="00C410B9" w:rsidRPr="00674C2E">
        <w:rPr>
          <w:rFonts w:cstheme="minorHAnsi"/>
          <w:color w:val="000000" w:themeColor="text1"/>
        </w:rPr>
        <w:t>B</w:t>
      </w:r>
      <w:r w:rsidR="00E45BD5" w:rsidRPr="00674C2E">
        <w:rPr>
          <w:rFonts w:cstheme="minorHAnsi"/>
          <w:color w:val="000000" w:themeColor="text1"/>
        </w:rPr>
        <w:t xml:space="preserve">C </w:t>
      </w:r>
      <w:r w:rsidR="00C410B9" w:rsidRPr="00674C2E">
        <w:rPr>
          <w:rFonts w:cstheme="minorHAnsi"/>
          <w:color w:val="000000" w:themeColor="text1"/>
        </w:rPr>
        <w:t xml:space="preserve">policy objectives are </w:t>
      </w:r>
      <w:r w:rsidR="00FF372C" w:rsidRPr="00674C2E">
        <w:rPr>
          <w:rFonts w:cstheme="minorHAnsi"/>
          <w:color w:val="000000" w:themeColor="text1"/>
        </w:rPr>
        <w:t>interlinked</w:t>
      </w:r>
      <w:r w:rsidR="00C410B9" w:rsidRPr="00674C2E">
        <w:rPr>
          <w:rFonts w:cstheme="minorHAnsi"/>
          <w:color w:val="000000" w:themeColor="text1"/>
        </w:rPr>
        <w:t xml:space="preserve"> and mutually reinforcin</w:t>
      </w:r>
      <w:r w:rsidR="00FF372C" w:rsidRPr="00674C2E">
        <w:rPr>
          <w:rFonts w:cstheme="minorHAnsi"/>
          <w:color w:val="000000" w:themeColor="text1"/>
        </w:rPr>
        <w:t>g.</w:t>
      </w:r>
      <w:r w:rsidR="002929A6">
        <w:rPr>
          <w:rFonts w:cstheme="minorHAnsi"/>
          <w:color w:val="000000" w:themeColor="text1"/>
        </w:rPr>
        <w:t xml:space="preserve"> </w:t>
      </w:r>
    </w:p>
    <w:p w14:paraId="0D0AE6E7" w14:textId="77777777" w:rsidR="00494656" w:rsidRPr="00674C2E" w:rsidRDefault="00494656" w:rsidP="00494656">
      <w:pPr>
        <w:spacing w:after="0" w:line="240" w:lineRule="auto"/>
        <w:rPr>
          <w:rFonts w:cstheme="minorHAnsi"/>
          <w:color w:val="000000" w:themeColor="text1"/>
        </w:rPr>
      </w:pPr>
    </w:p>
    <w:p w14:paraId="7648E922" w14:textId="77777777" w:rsidR="00E45BD5" w:rsidRPr="00674C2E" w:rsidRDefault="00E45BD5" w:rsidP="00494656">
      <w:pPr>
        <w:spacing w:after="0" w:line="240" w:lineRule="auto"/>
        <w:rPr>
          <w:rFonts w:cstheme="minorHAnsi"/>
          <w:color w:val="000000" w:themeColor="text1"/>
        </w:rPr>
      </w:pPr>
      <w:r w:rsidRPr="00674C2E">
        <w:rPr>
          <w:rFonts w:cstheme="minorHAnsi"/>
          <w:color w:val="000000" w:themeColor="text1"/>
        </w:rPr>
        <w:t>T</w:t>
      </w:r>
      <w:r w:rsidR="00FF372C" w:rsidRPr="00674C2E">
        <w:rPr>
          <w:rFonts w:cstheme="minorHAnsi"/>
          <w:color w:val="000000" w:themeColor="text1"/>
        </w:rPr>
        <w:t xml:space="preserve">he </w:t>
      </w:r>
      <w:r w:rsidR="00422006" w:rsidRPr="00674C2E">
        <w:rPr>
          <w:rFonts w:cstheme="minorHAnsi"/>
          <w:color w:val="000000" w:themeColor="text1"/>
        </w:rPr>
        <w:t>C</w:t>
      </w:r>
      <w:r w:rsidR="00527AD3" w:rsidRPr="00674C2E">
        <w:rPr>
          <w:rFonts w:cstheme="minorHAnsi"/>
          <w:color w:val="000000" w:themeColor="text1"/>
        </w:rPr>
        <w:t>ommon Regional Framework (C</w:t>
      </w:r>
      <w:r w:rsidR="00422006" w:rsidRPr="00674C2E">
        <w:rPr>
          <w:rFonts w:cstheme="minorHAnsi"/>
          <w:color w:val="000000" w:themeColor="text1"/>
        </w:rPr>
        <w:t>RF</w:t>
      </w:r>
      <w:r w:rsidR="00527AD3" w:rsidRPr="00674C2E">
        <w:rPr>
          <w:rFonts w:cstheme="minorHAnsi"/>
          <w:color w:val="000000" w:themeColor="text1"/>
        </w:rPr>
        <w:t>)</w:t>
      </w:r>
      <w:r w:rsidR="00422006" w:rsidRPr="00674C2E">
        <w:rPr>
          <w:rFonts w:cstheme="minorHAnsi"/>
          <w:color w:val="000000" w:themeColor="text1"/>
        </w:rPr>
        <w:t xml:space="preserve"> on ICZM</w:t>
      </w:r>
      <w:r w:rsidR="00527AD3" w:rsidRPr="00674C2E">
        <w:rPr>
          <w:rFonts w:cstheme="minorHAnsi"/>
          <w:color w:val="000000" w:themeColor="text1"/>
        </w:rPr>
        <w:t xml:space="preserve"> </w:t>
      </w:r>
      <w:r w:rsidR="00FF372C" w:rsidRPr="00674C2E">
        <w:rPr>
          <w:rFonts w:cstheme="minorHAnsi"/>
          <w:color w:val="000000" w:themeColor="text1"/>
        </w:rPr>
        <w:t xml:space="preserve">(the preparation of which is currently </w:t>
      </w:r>
      <w:r w:rsidR="00527AD3" w:rsidRPr="00674C2E">
        <w:rPr>
          <w:rFonts w:cstheme="minorHAnsi"/>
          <w:color w:val="000000" w:themeColor="text1"/>
        </w:rPr>
        <w:t>underway</w:t>
      </w:r>
      <w:r w:rsidR="00FF372C" w:rsidRPr="00674C2E">
        <w:rPr>
          <w:rFonts w:cstheme="minorHAnsi"/>
          <w:color w:val="000000" w:themeColor="text1"/>
        </w:rPr>
        <w:t xml:space="preserve">) </w:t>
      </w:r>
      <w:r w:rsidRPr="00674C2E">
        <w:rPr>
          <w:rFonts w:cstheme="minorHAnsi"/>
          <w:color w:val="000000" w:themeColor="text1"/>
        </w:rPr>
        <w:t xml:space="preserve">is a strategic instrument meant to facilitate </w:t>
      </w:r>
      <w:r w:rsidR="00422006" w:rsidRPr="00674C2E">
        <w:rPr>
          <w:rFonts w:cstheme="minorHAnsi"/>
          <w:color w:val="000000" w:themeColor="text1"/>
        </w:rPr>
        <w:t>the implementation of the ICZM Protocol</w:t>
      </w:r>
      <w:r w:rsidR="00C410B9" w:rsidRPr="00674C2E">
        <w:rPr>
          <w:rFonts w:cstheme="minorHAnsi"/>
          <w:color w:val="000000" w:themeColor="text1"/>
        </w:rPr>
        <w:t>.</w:t>
      </w:r>
      <w:r w:rsidR="00146E78">
        <w:rPr>
          <w:rFonts w:cstheme="minorHAnsi"/>
          <w:color w:val="000000" w:themeColor="text1"/>
        </w:rPr>
        <w:t xml:space="preserve"> The</w:t>
      </w:r>
      <w:r w:rsidR="00C410B9" w:rsidRPr="00674C2E">
        <w:rPr>
          <w:rFonts w:cstheme="minorHAnsi"/>
          <w:color w:val="000000" w:themeColor="text1"/>
        </w:rPr>
        <w:t xml:space="preserve"> </w:t>
      </w:r>
      <w:r w:rsidRPr="00674C2E">
        <w:rPr>
          <w:rFonts w:cstheme="minorHAnsi"/>
          <w:color w:val="000000" w:themeColor="text1"/>
        </w:rPr>
        <w:t xml:space="preserve">CRF </w:t>
      </w:r>
      <w:r w:rsidR="00422006" w:rsidRPr="00674C2E">
        <w:rPr>
          <w:rFonts w:cstheme="minorHAnsi"/>
          <w:color w:val="000000" w:themeColor="text1"/>
        </w:rPr>
        <w:t>provides guidance mainly for the regional (Mediterranean) and sub-regional (</w:t>
      </w:r>
      <w:r w:rsidR="00557EE9" w:rsidRPr="00674C2E">
        <w:rPr>
          <w:rFonts w:cstheme="minorHAnsi"/>
          <w:color w:val="000000" w:themeColor="text1"/>
        </w:rPr>
        <w:t xml:space="preserve">for the </w:t>
      </w:r>
      <w:r w:rsidR="00422006" w:rsidRPr="00674C2E">
        <w:rPr>
          <w:rFonts w:cstheme="minorHAnsi"/>
          <w:color w:val="000000" w:themeColor="text1"/>
        </w:rPr>
        <w:t xml:space="preserve">four Mediterranean sub-regions, </w:t>
      </w:r>
      <w:r w:rsidR="00557EE9" w:rsidRPr="00674C2E">
        <w:rPr>
          <w:rFonts w:cstheme="minorHAnsi"/>
          <w:color w:val="000000" w:themeColor="text1"/>
        </w:rPr>
        <w:t>as de</w:t>
      </w:r>
      <w:r w:rsidR="001D631D">
        <w:rPr>
          <w:rFonts w:cstheme="minorHAnsi"/>
          <w:color w:val="000000" w:themeColor="text1"/>
        </w:rPr>
        <w:t xml:space="preserve">fined </w:t>
      </w:r>
      <w:r w:rsidR="00557EE9" w:rsidRPr="00674C2E">
        <w:rPr>
          <w:rFonts w:cstheme="minorHAnsi"/>
          <w:color w:val="000000" w:themeColor="text1"/>
        </w:rPr>
        <w:t xml:space="preserve">in </w:t>
      </w:r>
      <w:r w:rsidR="00527AD3" w:rsidRPr="00674C2E">
        <w:rPr>
          <w:rFonts w:cstheme="minorHAnsi"/>
          <w:color w:val="000000" w:themeColor="text1"/>
        </w:rPr>
        <w:t xml:space="preserve">the Decision IG. 20/4 </w:t>
      </w:r>
      <w:r w:rsidR="00C410B9" w:rsidRPr="00674C2E">
        <w:rPr>
          <w:rFonts w:cstheme="minorHAnsi"/>
          <w:color w:val="000000" w:themeColor="text1"/>
        </w:rPr>
        <w:t xml:space="preserve">on </w:t>
      </w:r>
      <w:proofErr w:type="spellStart"/>
      <w:r w:rsidR="00C410B9" w:rsidRPr="00674C2E">
        <w:rPr>
          <w:rFonts w:cstheme="minorHAnsi"/>
          <w:color w:val="000000" w:themeColor="text1"/>
        </w:rPr>
        <w:t>EcAp</w:t>
      </w:r>
      <w:proofErr w:type="spellEnd"/>
      <w:r w:rsidR="00C410B9" w:rsidRPr="00674C2E">
        <w:rPr>
          <w:rFonts w:cstheme="minorHAnsi"/>
          <w:color w:val="000000" w:themeColor="text1"/>
        </w:rPr>
        <w:t xml:space="preserve"> Implementation Roadmap</w:t>
      </w:r>
      <w:r w:rsidR="00DB066A" w:rsidRPr="00C572E3">
        <w:rPr>
          <w:rStyle w:val="FootnoteReference"/>
        </w:rPr>
        <w:footnoteReference w:id="8"/>
      </w:r>
      <w:r w:rsidR="00422006" w:rsidRPr="00674C2E">
        <w:rPr>
          <w:rFonts w:cstheme="minorHAnsi"/>
          <w:color w:val="000000" w:themeColor="text1"/>
        </w:rPr>
        <w:t>) levels, based on a flexible approach that can be replicated at lower geographical levels (national, sub-national).</w:t>
      </w:r>
      <w:r w:rsidRPr="00674C2E">
        <w:rPr>
          <w:rFonts w:cstheme="minorHAnsi"/>
          <w:color w:val="000000" w:themeColor="text1"/>
        </w:rPr>
        <w:t xml:space="preserve"> </w:t>
      </w:r>
    </w:p>
    <w:p w14:paraId="6624A68D" w14:textId="77777777" w:rsidR="00557EE9" w:rsidRPr="00674C2E" w:rsidRDefault="00557EE9" w:rsidP="00494656">
      <w:pPr>
        <w:spacing w:after="0" w:line="240" w:lineRule="auto"/>
        <w:rPr>
          <w:rFonts w:cstheme="minorHAnsi"/>
          <w:color w:val="000000" w:themeColor="text1"/>
        </w:rPr>
      </w:pPr>
    </w:p>
    <w:p w14:paraId="271649F6" w14:textId="6CBE2425" w:rsidR="00494656" w:rsidRPr="00674C2E" w:rsidRDefault="00E45BD5" w:rsidP="00494656">
      <w:pPr>
        <w:spacing w:after="0" w:line="240" w:lineRule="auto"/>
        <w:rPr>
          <w:rFonts w:cstheme="minorHAnsi"/>
          <w:color w:val="000000" w:themeColor="text1"/>
        </w:rPr>
      </w:pPr>
      <w:r w:rsidRPr="00674C2E">
        <w:rPr>
          <w:rFonts w:cstheme="minorHAnsi"/>
          <w:color w:val="000000" w:themeColor="text1"/>
        </w:rPr>
        <w:t xml:space="preserve">According to </w:t>
      </w:r>
      <w:r w:rsidR="00146E78">
        <w:rPr>
          <w:rFonts w:cstheme="minorHAnsi"/>
          <w:color w:val="000000" w:themeColor="text1"/>
        </w:rPr>
        <w:t xml:space="preserve">the </w:t>
      </w:r>
      <w:r w:rsidRPr="00674C2E">
        <w:rPr>
          <w:rFonts w:cstheme="minorHAnsi"/>
          <w:color w:val="000000" w:themeColor="text1"/>
        </w:rPr>
        <w:t>CRF, application of EIA and SEA supports the implementation of ICZM principles (Art</w:t>
      </w:r>
      <w:r w:rsidR="004530EB">
        <w:rPr>
          <w:rFonts w:cstheme="minorHAnsi"/>
          <w:color w:val="000000" w:themeColor="text1"/>
        </w:rPr>
        <w:t xml:space="preserve">icle </w:t>
      </w:r>
      <w:r w:rsidRPr="00674C2E">
        <w:rPr>
          <w:rFonts w:cstheme="minorHAnsi"/>
          <w:color w:val="000000" w:themeColor="text1"/>
        </w:rPr>
        <w:t>6 of the ICZM Protocol) including the need to take into account all elements of natural and cultural systems in an integrated manner; the application of the ecosystems approach to spatial planning, preparation of policies and strategies; the timely participation in decision</w:t>
      </w:r>
      <w:r w:rsidR="00E20284">
        <w:rPr>
          <w:rFonts w:cstheme="minorHAnsi"/>
          <w:color w:val="000000" w:themeColor="text1"/>
        </w:rPr>
        <w:t>-</w:t>
      </w:r>
      <w:r w:rsidRPr="00674C2E">
        <w:rPr>
          <w:rFonts w:cstheme="minorHAnsi"/>
          <w:color w:val="000000" w:themeColor="text1"/>
        </w:rPr>
        <w:t>making and ensuring that economic activities minimise the use of natural resources and take into account the needs of future generations.</w:t>
      </w:r>
      <w:r w:rsidR="00494656" w:rsidRPr="00674C2E">
        <w:rPr>
          <w:rFonts w:cstheme="minorHAnsi"/>
          <w:color w:val="000000" w:themeColor="text1"/>
        </w:rPr>
        <w:t xml:space="preserve"> </w:t>
      </w:r>
    </w:p>
    <w:p w14:paraId="1D203AEF" w14:textId="77777777" w:rsidR="00557EE9" w:rsidRPr="00674C2E" w:rsidRDefault="00557EE9" w:rsidP="00494656">
      <w:pPr>
        <w:spacing w:after="0" w:line="240" w:lineRule="auto"/>
        <w:rPr>
          <w:rFonts w:cstheme="minorHAnsi"/>
          <w:color w:val="000000" w:themeColor="text1"/>
        </w:rPr>
      </w:pPr>
    </w:p>
    <w:p w14:paraId="7881B11F" w14:textId="77777777" w:rsidR="00E45BD5" w:rsidRPr="00674C2E" w:rsidRDefault="00557EE9" w:rsidP="00494656">
      <w:pPr>
        <w:spacing w:after="0" w:line="240" w:lineRule="auto"/>
        <w:rPr>
          <w:rFonts w:cstheme="minorHAnsi"/>
          <w:color w:val="000000" w:themeColor="text1"/>
        </w:rPr>
      </w:pPr>
      <w:r w:rsidRPr="00674C2E">
        <w:rPr>
          <w:rFonts w:cstheme="minorHAnsi"/>
          <w:color w:val="000000" w:themeColor="text1"/>
        </w:rPr>
        <w:t>T</w:t>
      </w:r>
      <w:r w:rsidR="00E45BD5" w:rsidRPr="00674C2E">
        <w:rPr>
          <w:rFonts w:cstheme="minorHAnsi"/>
          <w:color w:val="000000" w:themeColor="text1"/>
        </w:rPr>
        <w:t xml:space="preserve">he </w:t>
      </w:r>
      <w:r w:rsidRPr="00674C2E">
        <w:rPr>
          <w:rFonts w:cstheme="minorHAnsi"/>
          <w:color w:val="000000" w:themeColor="text1"/>
        </w:rPr>
        <w:t xml:space="preserve">Contracting Parties are </w:t>
      </w:r>
      <w:r w:rsidR="001D631D">
        <w:rPr>
          <w:rFonts w:cstheme="minorHAnsi"/>
          <w:color w:val="000000" w:themeColor="text1"/>
        </w:rPr>
        <w:t xml:space="preserve">thus </w:t>
      </w:r>
      <w:r w:rsidRPr="00674C2E">
        <w:rPr>
          <w:rFonts w:cstheme="minorHAnsi"/>
          <w:color w:val="000000" w:themeColor="text1"/>
        </w:rPr>
        <w:t xml:space="preserve">recommended to: </w:t>
      </w:r>
    </w:p>
    <w:p w14:paraId="2274EB59" w14:textId="77777777" w:rsidR="00E45BD5" w:rsidRPr="00674C2E" w:rsidRDefault="00E45BD5" w:rsidP="005028DC">
      <w:pPr>
        <w:pStyle w:val="ListParagraph"/>
        <w:numPr>
          <w:ilvl w:val="0"/>
          <w:numId w:val="12"/>
        </w:numPr>
        <w:spacing w:after="0" w:line="240" w:lineRule="auto"/>
        <w:ind w:left="709" w:hanging="425"/>
        <w:rPr>
          <w:rFonts w:cstheme="minorHAnsi"/>
          <w:color w:val="000000" w:themeColor="text1"/>
          <w:lang w:val="en-US"/>
        </w:rPr>
      </w:pPr>
      <w:r w:rsidRPr="00674C2E">
        <w:rPr>
          <w:rFonts w:cstheme="minorHAnsi"/>
          <w:color w:val="000000" w:themeColor="text1"/>
          <w:lang w:val="en-US"/>
        </w:rPr>
        <w:t xml:space="preserve">Implement environmental assessments taking into considerations cumulative impacts on the coastal zones and their carrying capacity, possibly based </w:t>
      </w:r>
      <w:r w:rsidR="00557EE9" w:rsidRPr="00674C2E">
        <w:rPr>
          <w:rFonts w:cstheme="minorHAnsi"/>
          <w:color w:val="000000" w:themeColor="text1"/>
          <w:lang w:val="en-US"/>
        </w:rPr>
        <w:t>o</w:t>
      </w:r>
      <w:r w:rsidRPr="00674C2E">
        <w:rPr>
          <w:rFonts w:cstheme="minorHAnsi"/>
          <w:color w:val="000000" w:themeColor="text1"/>
          <w:lang w:val="en-US"/>
        </w:rPr>
        <w:t xml:space="preserve">n the use of </w:t>
      </w:r>
      <w:proofErr w:type="spellStart"/>
      <w:r w:rsidRPr="00674C2E">
        <w:rPr>
          <w:rFonts w:cstheme="minorHAnsi"/>
          <w:color w:val="000000" w:themeColor="text1"/>
          <w:lang w:val="en-US"/>
        </w:rPr>
        <w:t>EcAp</w:t>
      </w:r>
      <w:proofErr w:type="spellEnd"/>
      <w:r w:rsidRPr="00674C2E">
        <w:rPr>
          <w:rFonts w:cstheme="minorHAnsi"/>
          <w:color w:val="000000" w:themeColor="text1"/>
          <w:lang w:val="en-US"/>
        </w:rPr>
        <w:t xml:space="preserve"> Ecological Objectives and related indicators</w:t>
      </w:r>
      <w:r w:rsidR="00223790" w:rsidRPr="00674C2E">
        <w:rPr>
          <w:rFonts w:cstheme="minorHAnsi"/>
          <w:color w:val="000000" w:themeColor="text1"/>
          <w:lang w:val="en-US"/>
        </w:rPr>
        <w:t>;</w:t>
      </w:r>
      <w:r w:rsidRPr="00674C2E">
        <w:rPr>
          <w:rFonts w:cstheme="minorHAnsi"/>
          <w:color w:val="000000" w:themeColor="text1"/>
          <w:lang w:val="en-US"/>
        </w:rPr>
        <w:t xml:space="preserve"> </w:t>
      </w:r>
    </w:p>
    <w:p w14:paraId="7A757D2F" w14:textId="77777777" w:rsidR="00223790" w:rsidRPr="00833162" w:rsidRDefault="00494656" w:rsidP="005028DC">
      <w:pPr>
        <w:pStyle w:val="Bullet"/>
        <w:numPr>
          <w:ilvl w:val="0"/>
          <w:numId w:val="12"/>
        </w:numPr>
        <w:spacing w:before="0"/>
        <w:ind w:left="709" w:hanging="425"/>
        <w:rPr>
          <w:rFonts w:asciiTheme="minorHAnsi" w:hAnsiTheme="minorHAnsi" w:cstheme="minorHAnsi"/>
          <w:color w:val="000000" w:themeColor="text1"/>
        </w:rPr>
      </w:pPr>
      <w:r w:rsidRPr="00674C2E">
        <w:rPr>
          <w:rFonts w:asciiTheme="minorHAnsi" w:hAnsiTheme="minorHAnsi" w:cstheme="minorHAnsi"/>
          <w:color w:val="000000" w:themeColor="text1"/>
        </w:rPr>
        <w:t xml:space="preserve">Take on board </w:t>
      </w:r>
      <w:r w:rsidR="00557EE9" w:rsidRPr="00674C2E">
        <w:rPr>
          <w:rFonts w:asciiTheme="minorHAnsi" w:hAnsiTheme="minorHAnsi" w:cstheme="minorHAnsi"/>
          <w:color w:val="000000" w:themeColor="text1"/>
        </w:rPr>
        <w:t xml:space="preserve">land-sea interactions </w:t>
      </w:r>
      <w:r w:rsidR="00223790" w:rsidRPr="00674C2E">
        <w:rPr>
          <w:rFonts w:asciiTheme="minorHAnsi" w:hAnsiTheme="minorHAnsi" w:cstheme="minorHAnsi"/>
          <w:color w:val="000000" w:themeColor="text1"/>
        </w:rPr>
        <w:t xml:space="preserve">(LSI) </w:t>
      </w:r>
      <w:r w:rsidRPr="00674C2E">
        <w:rPr>
          <w:rFonts w:asciiTheme="minorHAnsi" w:hAnsiTheme="minorHAnsi" w:cstheme="minorHAnsi"/>
          <w:color w:val="000000" w:themeColor="text1"/>
        </w:rPr>
        <w:t xml:space="preserve">in environmental assessments (including transboundary ones), in particular interactions and impacts that can alter the equilibrium of </w:t>
      </w:r>
      <w:r w:rsidRPr="00833162">
        <w:rPr>
          <w:rFonts w:asciiTheme="minorHAnsi" w:hAnsiTheme="minorHAnsi" w:cstheme="minorHAnsi"/>
          <w:color w:val="000000" w:themeColor="text1"/>
        </w:rPr>
        <w:t>marine and terrestrial areas due to natural processes</w:t>
      </w:r>
      <w:r w:rsidR="00223790" w:rsidRPr="00833162">
        <w:rPr>
          <w:rFonts w:asciiTheme="minorHAnsi" w:hAnsiTheme="minorHAnsi" w:cstheme="minorHAnsi"/>
          <w:color w:val="000000" w:themeColor="text1"/>
        </w:rPr>
        <w:t xml:space="preserve">, </w:t>
      </w:r>
      <w:r w:rsidRPr="00833162">
        <w:rPr>
          <w:rFonts w:asciiTheme="minorHAnsi" w:hAnsiTheme="minorHAnsi" w:cstheme="minorHAnsi"/>
          <w:color w:val="000000" w:themeColor="text1"/>
        </w:rPr>
        <w:t xml:space="preserve"> as well as mutual impacts of maritime activities on land and terrestrial activities on sea</w:t>
      </w:r>
      <w:r w:rsidR="00223790" w:rsidRPr="00833162">
        <w:rPr>
          <w:rFonts w:asciiTheme="minorHAnsi" w:hAnsiTheme="minorHAnsi" w:cstheme="minorHAnsi"/>
          <w:color w:val="000000" w:themeColor="text1"/>
        </w:rPr>
        <w:t xml:space="preserve">; </w:t>
      </w:r>
    </w:p>
    <w:p w14:paraId="08507BB3" w14:textId="77777777" w:rsidR="00422006" w:rsidRPr="00833162" w:rsidRDefault="00223790" w:rsidP="005028DC">
      <w:pPr>
        <w:pStyle w:val="ListParagraph"/>
        <w:numPr>
          <w:ilvl w:val="0"/>
          <w:numId w:val="12"/>
        </w:numPr>
        <w:spacing w:after="0" w:line="240" w:lineRule="auto"/>
        <w:ind w:left="709" w:hanging="425"/>
        <w:jc w:val="both"/>
        <w:rPr>
          <w:rFonts w:cstheme="minorHAnsi"/>
          <w:color w:val="000000" w:themeColor="text1"/>
        </w:rPr>
      </w:pPr>
      <w:r w:rsidRPr="00833162">
        <w:rPr>
          <w:rFonts w:cstheme="minorHAnsi"/>
          <w:color w:val="000000" w:themeColor="text1"/>
        </w:rPr>
        <w:t>A</w:t>
      </w:r>
      <w:r w:rsidR="00494656" w:rsidRPr="00833162">
        <w:rPr>
          <w:rFonts w:cstheme="minorHAnsi"/>
          <w:color w:val="000000" w:themeColor="text1"/>
        </w:rPr>
        <w:t>dopt guidelines on the procedures for notification, exchange of information and consultation at all stages, as appropriate</w:t>
      </w:r>
      <w:r w:rsidR="001D631D" w:rsidRPr="00833162">
        <w:rPr>
          <w:rFonts w:cstheme="minorHAnsi"/>
          <w:color w:val="000000" w:themeColor="text1"/>
        </w:rPr>
        <w:t>. I</w:t>
      </w:r>
      <w:r w:rsidRPr="00833162">
        <w:rPr>
          <w:rFonts w:cstheme="minorHAnsi"/>
          <w:color w:val="000000" w:themeColor="text1"/>
        </w:rPr>
        <w:t xml:space="preserve">ssues such as </w:t>
      </w:r>
      <w:r w:rsidR="00494656" w:rsidRPr="00833162">
        <w:rPr>
          <w:rFonts w:cstheme="minorHAnsi"/>
          <w:color w:val="000000" w:themeColor="text1"/>
        </w:rPr>
        <w:t>GES and related targets, LSI aspects including coastal erosion, cumulative impact</w:t>
      </w:r>
      <w:r w:rsidRPr="00833162">
        <w:rPr>
          <w:rFonts w:cstheme="minorHAnsi"/>
          <w:color w:val="000000" w:themeColor="text1"/>
        </w:rPr>
        <w:t>s</w:t>
      </w:r>
      <w:r w:rsidR="00494656" w:rsidRPr="00833162">
        <w:rPr>
          <w:rFonts w:cstheme="minorHAnsi"/>
          <w:color w:val="000000" w:themeColor="text1"/>
        </w:rPr>
        <w:t xml:space="preserve"> and vulnerability assessment</w:t>
      </w:r>
      <w:r w:rsidRPr="00833162">
        <w:rPr>
          <w:rFonts w:cstheme="minorHAnsi"/>
          <w:color w:val="000000" w:themeColor="text1"/>
        </w:rPr>
        <w:t>s</w:t>
      </w:r>
      <w:r w:rsidR="00494656" w:rsidRPr="00833162">
        <w:rPr>
          <w:rFonts w:cstheme="minorHAnsi"/>
          <w:color w:val="000000" w:themeColor="text1"/>
        </w:rPr>
        <w:t>, carrying capacity</w:t>
      </w:r>
      <w:r w:rsidRPr="00833162">
        <w:rPr>
          <w:rFonts w:cstheme="minorHAnsi"/>
          <w:color w:val="000000" w:themeColor="text1"/>
        </w:rPr>
        <w:t>, climate change</w:t>
      </w:r>
      <w:r w:rsidR="001D631D" w:rsidRPr="00833162">
        <w:rPr>
          <w:rFonts w:cstheme="minorHAnsi"/>
          <w:color w:val="000000" w:themeColor="text1"/>
        </w:rPr>
        <w:t xml:space="preserve"> </w:t>
      </w:r>
      <w:r w:rsidRPr="00833162">
        <w:rPr>
          <w:rFonts w:cstheme="minorHAnsi"/>
          <w:color w:val="000000" w:themeColor="text1"/>
        </w:rPr>
        <w:t xml:space="preserve">and others should be addressed. </w:t>
      </w:r>
    </w:p>
    <w:p w14:paraId="12A62CD1" w14:textId="77777777" w:rsidR="00223790" w:rsidRPr="00674C2E" w:rsidRDefault="00223790" w:rsidP="00223790">
      <w:pPr>
        <w:pStyle w:val="ListParagraph"/>
        <w:spacing w:after="0" w:line="240" w:lineRule="auto"/>
        <w:ind w:left="630"/>
        <w:jc w:val="both"/>
        <w:rPr>
          <w:rFonts w:cstheme="minorHAnsi"/>
          <w:color w:val="000000" w:themeColor="text1"/>
        </w:rPr>
      </w:pPr>
    </w:p>
    <w:p w14:paraId="0C11F68A" w14:textId="3729C1D3" w:rsidR="00960B45" w:rsidRPr="004530EB" w:rsidRDefault="00223790" w:rsidP="00C01F2B">
      <w:pPr>
        <w:pStyle w:val="CommentText"/>
        <w:rPr>
          <w:rFonts w:cstheme="minorHAnsi"/>
          <w:color w:val="000000" w:themeColor="text1"/>
          <w:sz w:val="22"/>
          <w:szCs w:val="22"/>
        </w:rPr>
      </w:pPr>
      <w:r w:rsidRPr="00674C2E">
        <w:rPr>
          <w:rFonts w:cstheme="minorHAnsi"/>
          <w:color w:val="000000" w:themeColor="text1"/>
          <w:sz w:val="22"/>
          <w:szCs w:val="22"/>
        </w:rPr>
        <w:t>T</w:t>
      </w:r>
      <w:r w:rsidR="00422006" w:rsidRPr="00674C2E">
        <w:rPr>
          <w:rFonts w:cstheme="minorHAnsi"/>
          <w:color w:val="000000" w:themeColor="text1"/>
          <w:sz w:val="22"/>
          <w:szCs w:val="22"/>
        </w:rPr>
        <w:t xml:space="preserve">he Contracting Parties to the </w:t>
      </w:r>
      <w:r w:rsidRPr="00674C2E">
        <w:rPr>
          <w:rFonts w:cstheme="minorHAnsi"/>
          <w:color w:val="000000" w:themeColor="text1"/>
          <w:sz w:val="22"/>
          <w:szCs w:val="22"/>
        </w:rPr>
        <w:t>BC</w:t>
      </w:r>
      <w:r w:rsidR="00422006" w:rsidRPr="00674C2E">
        <w:rPr>
          <w:rFonts w:cstheme="minorHAnsi"/>
          <w:color w:val="000000" w:themeColor="text1"/>
          <w:sz w:val="22"/>
          <w:szCs w:val="22"/>
        </w:rPr>
        <w:t xml:space="preserve"> adopted the </w:t>
      </w:r>
      <w:r w:rsidRPr="00674C2E">
        <w:rPr>
          <w:rFonts w:cstheme="minorHAnsi"/>
          <w:color w:val="000000" w:themeColor="text1"/>
          <w:sz w:val="22"/>
          <w:szCs w:val="22"/>
        </w:rPr>
        <w:t>D</w:t>
      </w:r>
      <w:r w:rsidR="00422006" w:rsidRPr="00674C2E">
        <w:rPr>
          <w:rFonts w:cstheme="minorHAnsi"/>
          <w:color w:val="000000" w:themeColor="text1"/>
          <w:sz w:val="22"/>
          <w:szCs w:val="22"/>
        </w:rPr>
        <w:t xml:space="preserve">ecision </w:t>
      </w:r>
      <w:r w:rsidR="00422006" w:rsidRPr="00674C2E">
        <w:rPr>
          <w:rFonts w:cstheme="minorHAnsi"/>
          <w:color w:val="000000" w:themeColor="text1"/>
          <w:sz w:val="22"/>
          <w:szCs w:val="22"/>
          <w:shd w:val="clear" w:color="auto" w:fill="FFFFFF"/>
        </w:rPr>
        <w:t>IG.23/7 t</w:t>
      </w:r>
      <w:r w:rsidR="00422006" w:rsidRPr="00674C2E">
        <w:rPr>
          <w:rFonts w:cstheme="minorHAnsi"/>
          <w:color w:val="000000" w:themeColor="text1"/>
          <w:sz w:val="22"/>
          <w:szCs w:val="22"/>
        </w:rPr>
        <w:t xml:space="preserve">hat envisages introduction of Marine Spatial Planning (MSP) into the </w:t>
      </w:r>
      <w:r w:rsidR="0026646C">
        <w:rPr>
          <w:rFonts w:cstheme="minorHAnsi"/>
          <w:color w:val="000000" w:themeColor="text1"/>
          <w:sz w:val="22"/>
          <w:szCs w:val="22"/>
        </w:rPr>
        <w:t xml:space="preserve">BC </w:t>
      </w:r>
      <w:r w:rsidR="00422006" w:rsidRPr="00674C2E">
        <w:rPr>
          <w:rFonts w:cstheme="minorHAnsi"/>
          <w:color w:val="000000" w:themeColor="text1"/>
          <w:sz w:val="22"/>
          <w:szCs w:val="22"/>
        </w:rPr>
        <w:t>system</w:t>
      </w:r>
      <w:r w:rsidR="00C01F2B" w:rsidRPr="00674C2E">
        <w:rPr>
          <w:rFonts w:cstheme="minorHAnsi"/>
          <w:color w:val="000000" w:themeColor="text1"/>
          <w:sz w:val="22"/>
          <w:szCs w:val="22"/>
        </w:rPr>
        <w:t xml:space="preserve">. </w:t>
      </w:r>
      <w:r w:rsidRPr="00674C2E">
        <w:rPr>
          <w:rFonts w:cstheme="minorHAnsi"/>
          <w:color w:val="000000" w:themeColor="text1"/>
          <w:sz w:val="22"/>
          <w:szCs w:val="22"/>
        </w:rPr>
        <w:t xml:space="preserve">MSP is considered as the main tool/ process for the </w:t>
      </w:r>
      <w:r w:rsidR="00422006" w:rsidRPr="00674C2E">
        <w:rPr>
          <w:rFonts w:cstheme="minorHAnsi"/>
          <w:color w:val="000000" w:themeColor="text1"/>
          <w:sz w:val="22"/>
          <w:szCs w:val="22"/>
        </w:rPr>
        <w:t xml:space="preserve">implementation of ICZM in the marine part of the coastal zone and for planning and managing maritime human activities according to </w:t>
      </w:r>
      <w:proofErr w:type="spellStart"/>
      <w:r w:rsidR="00422006" w:rsidRPr="00674C2E">
        <w:rPr>
          <w:rFonts w:cstheme="minorHAnsi"/>
          <w:color w:val="000000" w:themeColor="text1"/>
          <w:sz w:val="22"/>
          <w:szCs w:val="22"/>
        </w:rPr>
        <w:t>EcAp</w:t>
      </w:r>
      <w:proofErr w:type="spellEnd"/>
      <w:r w:rsidR="00422006" w:rsidRPr="00674C2E">
        <w:rPr>
          <w:rFonts w:cstheme="minorHAnsi"/>
          <w:color w:val="000000" w:themeColor="text1"/>
          <w:sz w:val="22"/>
          <w:szCs w:val="22"/>
        </w:rPr>
        <w:t xml:space="preserve"> </w:t>
      </w:r>
      <w:r w:rsidR="00B966AA">
        <w:rPr>
          <w:rFonts w:cstheme="minorHAnsi"/>
          <w:color w:val="000000" w:themeColor="text1"/>
          <w:sz w:val="22"/>
          <w:szCs w:val="22"/>
        </w:rPr>
        <w:t>objectives</w:t>
      </w:r>
      <w:r w:rsidRPr="00674C2E">
        <w:rPr>
          <w:rFonts w:cstheme="minorHAnsi"/>
          <w:color w:val="000000" w:themeColor="text1"/>
          <w:sz w:val="22"/>
          <w:szCs w:val="22"/>
        </w:rPr>
        <w:t xml:space="preserve">. </w:t>
      </w:r>
      <w:r w:rsidR="00C01F2B" w:rsidRPr="00674C2E">
        <w:rPr>
          <w:rFonts w:cstheme="minorHAnsi"/>
          <w:color w:val="000000" w:themeColor="text1"/>
          <w:sz w:val="22"/>
          <w:szCs w:val="22"/>
        </w:rPr>
        <w:t xml:space="preserve">SEAs on the other hand should make an </w:t>
      </w:r>
      <w:r w:rsidR="00C01F2B" w:rsidRPr="004530EB">
        <w:rPr>
          <w:rFonts w:cstheme="minorHAnsi"/>
          <w:color w:val="000000" w:themeColor="text1"/>
          <w:sz w:val="22"/>
          <w:szCs w:val="22"/>
        </w:rPr>
        <w:t xml:space="preserve">integral part of spatial planning (including for marine areas) and in the case of </w:t>
      </w:r>
      <w:r w:rsidR="001D631D" w:rsidRPr="004530EB">
        <w:rPr>
          <w:rFonts w:cstheme="minorHAnsi"/>
          <w:color w:val="000000" w:themeColor="text1"/>
          <w:sz w:val="22"/>
          <w:szCs w:val="22"/>
        </w:rPr>
        <w:t xml:space="preserve">cross-border impact (or impacts on the areas beyond national jurisdictions) </w:t>
      </w:r>
      <w:r w:rsidR="00C01F2B" w:rsidRPr="004530EB">
        <w:rPr>
          <w:rFonts w:cstheme="minorHAnsi"/>
          <w:color w:val="000000" w:themeColor="text1"/>
          <w:sz w:val="22"/>
          <w:szCs w:val="22"/>
        </w:rPr>
        <w:t xml:space="preserve">of the planned activities, transboundary procedures should be initiated. </w:t>
      </w:r>
    </w:p>
    <w:p w14:paraId="282BD0D8" w14:textId="5C831D6B" w:rsidR="00B966AA" w:rsidRDefault="006E32F3" w:rsidP="00C01F2B">
      <w:pPr>
        <w:pStyle w:val="CommentText"/>
        <w:rPr>
          <w:rFonts w:cstheme="minorHAnsi"/>
          <w:color w:val="000000" w:themeColor="text1"/>
          <w:sz w:val="22"/>
          <w:szCs w:val="22"/>
        </w:rPr>
      </w:pPr>
      <w:r w:rsidRPr="001D631D">
        <w:rPr>
          <w:rFonts w:cstheme="minorHAnsi"/>
          <w:color w:val="000000" w:themeColor="text1"/>
          <w:sz w:val="22"/>
          <w:szCs w:val="22"/>
        </w:rPr>
        <w:t xml:space="preserve">In the MSSD, </w:t>
      </w:r>
      <w:r w:rsidR="00B966AA" w:rsidRPr="001D631D">
        <w:rPr>
          <w:rFonts w:cstheme="minorHAnsi"/>
          <w:color w:val="000000" w:themeColor="text1"/>
          <w:sz w:val="22"/>
          <w:szCs w:val="22"/>
        </w:rPr>
        <w:t>SEA</w:t>
      </w:r>
      <w:r w:rsidR="0064614E">
        <w:rPr>
          <w:rFonts w:cstheme="minorHAnsi"/>
          <w:color w:val="000000" w:themeColor="text1"/>
          <w:sz w:val="22"/>
          <w:szCs w:val="22"/>
        </w:rPr>
        <w:t xml:space="preserve"> and EIA</w:t>
      </w:r>
      <w:r w:rsidRPr="001D631D">
        <w:rPr>
          <w:rFonts w:cstheme="minorHAnsi"/>
          <w:color w:val="000000" w:themeColor="text1"/>
          <w:sz w:val="22"/>
          <w:szCs w:val="22"/>
        </w:rPr>
        <w:t xml:space="preserve"> are highlighted as tools with a prominent role for the implementation of several strategic direction</w:t>
      </w:r>
      <w:r w:rsidR="0064614E">
        <w:rPr>
          <w:rFonts w:cstheme="minorHAnsi"/>
          <w:color w:val="000000" w:themeColor="text1"/>
          <w:sz w:val="22"/>
          <w:szCs w:val="22"/>
        </w:rPr>
        <w:t>s</w:t>
      </w:r>
      <w:r w:rsidRPr="001D631D">
        <w:rPr>
          <w:rFonts w:cstheme="minorHAnsi"/>
          <w:color w:val="000000" w:themeColor="text1"/>
          <w:sz w:val="22"/>
          <w:szCs w:val="22"/>
        </w:rPr>
        <w:t xml:space="preserve"> (linked to the six MSSD objectives), </w:t>
      </w:r>
      <w:r w:rsidR="0064084B">
        <w:rPr>
          <w:rFonts w:cstheme="minorHAnsi"/>
          <w:color w:val="000000" w:themeColor="text1"/>
          <w:sz w:val="22"/>
          <w:szCs w:val="22"/>
        </w:rPr>
        <w:t>for example</w:t>
      </w:r>
      <w:r w:rsidR="00E56317">
        <w:rPr>
          <w:rFonts w:cstheme="minorHAnsi"/>
          <w:color w:val="000000" w:themeColor="text1"/>
          <w:sz w:val="22"/>
          <w:szCs w:val="22"/>
        </w:rPr>
        <w:t xml:space="preserve">: </w:t>
      </w:r>
      <w:r w:rsidRPr="001D631D">
        <w:rPr>
          <w:sz w:val="22"/>
          <w:szCs w:val="22"/>
        </w:rPr>
        <w:t xml:space="preserve">on the </w:t>
      </w:r>
      <w:r w:rsidR="004C7793" w:rsidRPr="001D631D">
        <w:rPr>
          <w:sz w:val="22"/>
          <w:szCs w:val="22"/>
        </w:rPr>
        <w:t xml:space="preserve">use of </w:t>
      </w:r>
      <w:r w:rsidR="00CF7BA1">
        <w:rPr>
          <w:sz w:val="22"/>
          <w:szCs w:val="22"/>
        </w:rPr>
        <w:t xml:space="preserve">regulatory </w:t>
      </w:r>
      <w:r w:rsidR="004C7793" w:rsidRPr="001D631D">
        <w:rPr>
          <w:sz w:val="22"/>
          <w:szCs w:val="22"/>
        </w:rPr>
        <w:t>mechanism</w:t>
      </w:r>
      <w:r w:rsidR="007226F9">
        <w:rPr>
          <w:sz w:val="22"/>
          <w:szCs w:val="22"/>
        </w:rPr>
        <w:t>s</w:t>
      </w:r>
      <w:r w:rsidR="00CF7BA1">
        <w:rPr>
          <w:sz w:val="22"/>
          <w:szCs w:val="22"/>
        </w:rPr>
        <w:t>, including</w:t>
      </w:r>
      <w:r w:rsidR="004C7793" w:rsidRPr="001D631D">
        <w:rPr>
          <w:sz w:val="22"/>
          <w:szCs w:val="22"/>
        </w:rPr>
        <w:t xml:space="preserve"> </w:t>
      </w:r>
      <w:r w:rsidR="001D631D" w:rsidRPr="001D631D">
        <w:rPr>
          <w:sz w:val="22"/>
          <w:szCs w:val="22"/>
        </w:rPr>
        <w:t>MSP</w:t>
      </w:r>
      <w:r w:rsidR="00CF7BA1">
        <w:rPr>
          <w:sz w:val="22"/>
          <w:szCs w:val="22"/>
        </w:rPr>
        <w:t>,</w:t>
      </w:r>
      <w:r w:rsidR="001D631D" w:rsidRPr="001D631D">
        <w:rPr>
          <w:sz w:val="22"/>
          <w:szCs w:val="22"/>
        </w:rPr>
        <w:t xml:space="preserve"> </w:t>
      </w:r>
      <w:r w:rsidR="004C7793" w:rsidRPr="001D631D">
        <w:rPr>
          <w:sz w:val="22"/>
          <w:szCs w:val="22"/>
        </w:rPr>
        <w:t xml:space="preserve">to </w:t>
      </w:r>
      <w:r w:rsidRPr="001D631D">
        <w:rPr>
          <w:rFonts w:cstheme="minorHAnsi"/>
          <w:color w:val="000000" w:themeColor="text1"/>
          <w:sz w:val="22"/>
          <w:szCs w:val="22"/>
        </w:rPr>
        <w:t xml:space="preserve">prevent and control </w:t>
      </w:r>
      <w:r w:rsidRPr="004530EB">
        <w:rPr>
          <w:rFonts w:cstheme="minorHAnsi"/>
          <w:color w:val="000000" w:themeColor="text1"/>
          <w:sz w:val="22"/>
          <w:szCs w:val="22"/>
        </w:rPr>
        <w:t>unsustainable open ocean resource exploitation</w:t>
      </w:r>
      <w:r w:rsidR="001D631D" w:rsidRPr="004530EB">
        <w:rPr>
          <w:rFonts w:cstheme="minorHAnsi"/>
          <w:color w:val="000000" w:themeColor="text1"/>
          <w:sz w:val="22"/>
          <w:szCs w:val="22"/>
        </w:rPr>
        <w:t>;</w:t>
      </w:r>
      <w:r w:rsidR="004C7793" w:rsidRPr="004530EB">
        <w:rPr>
          <w:rFonts w:cstheme="minorHAnsi"/>
          <w:color w:val="000000" w:themeColor="text1"/>
          <w:sz w:val="22"/>
          <w:szCs w:val="22"/>
        </w:rPr>
        <w:t xml:space="preserve"> promoting the sustainable use, management and conservation of natural resources </w:t>
      </w:r>
      <w:r w:rsidR="004C7793" w:rsidRPr="001D631D">
        <w:rPr>
          <w:rFonts w:cstheme="minorHAnsi"/>
          <w:color w:val="000000" w:themeColor="text1"/>
          <w:sz w:val="22"/>
          <w:szCs w:val="22"/>
        </w:rPr>
        <w:t>and ecosystems</w:t>
      </w:r>
      <w:r w:rsidR="001D631D">
        <w:rPr>
          <w:rFonts w:cstheme="minorHAnsi"/>
          <w:color w:val="000000" w:themeColor="text1"/>
          <w:sz w:val="22"/>
          <w:szCs w:val="22"/>
        </w:rPr>
        <w:t xml:space="preserve">; </w:t>
      </w:r>
      <w:r w:rsidR="004C7793" w:rsidRPr="001D631D">
        <w:rPr>
          <w:rFonts w:cstheme="minorHAnsi"/>
          <w:color w:val="000000" w:themeColor="text1"/>
          <w:sz w:val="22"/>
          <w:szCs w:val="22"/>
        </w:rPr>
        <w:t xml:space="preserve">and promoting implementation and compliance with environmental obligations and agreements. The environmental assessments </w:t>
      </w:r>
      <w:r w:rsidR="009A6688">
        <w:rPr>
          <w:rFonts w:cstheme="minorHAnsi"/>
          <w:color w:val="000000" w:themeColor="text1"/>
          <w:sz w:val="22"/>
          <w:szCs w:val="22"/>
        </w:rPr>
        <w:t xml:space="preserve">are </w:t>
      </w:r>
      <w:r w:rsidR="004C7793" w:rsidRPr="001D631D">
        <w:rPr>
          <w:rFonts w:cstheme="minorHAnsi"/>
          <w:color w:val="000000" w:themeColor="text1"/>
          <w:sz w:val="22"/>
          <w:szCs w:val="22"/>
        </w:rPr>
        <w:t xml:space="preserve">also </w:t>
      </w:r>
      <w:r w:rsidR="009A6688">
        <w:rPr>
          <w:rFonts w:cstheme="minorHAnsi"/>
          <w:color w:val="000000" w:themeColor="text1"/>
          <w:sz w:val="22"/>
          <w:szCs w:val="22"/>
        </w:rPr>
        <w:t xml:space="preserve">addressed </w:t>
      </w:r>
      <w:r w:rsidR="004C7793" w:rsidRPr="001D631D">
        <w:rPr>
          <w:rFonts w:cstheme="minorHAnsi"/>
          <w:color w:val="000000" w:themeColor="text1"/>
          <w:sz w:val="22"/>
          <w:szCs w:val="22"/>
        </w:rPr>
        <w:t xml:space="preserve">in the MSSD </w:t>
      </w:r>
      <w:r w:rsidR="00432B53">
        <w:rPr>
          <w:rFonts w:cstheme="minorHAnsi"/>
          <w:color w:val="000000" w:themeColor="text1"/>
          <w:sz w:val="22"/>
          <w:szCs w:val="22"/>
        </w:rPr>
        <w:t>f</w:t>
      </w:r>
      <w:r w:rsidRPr="001D631D">
        <w:rPr>
          <w:rFonts w:cstheme="minorHAnsi"/>
          <w:color w:val="000000" w:themeColor="text1"/>
          <w:sz w:val="22"/>
          <w:szCs w:val="22"/>
        </w:rPr>
        <w:t>lagship initiative</w:t>
      </w:r>
      <w:r w:rsidR="009A6688">
        <w:rPr>
          <w:rFonts w:cstheme="minorHAnsi"/>
          <w:color w:val="000000" w:themeColor="text1"/>
          <w:sz w:val="22"/>
          <w:szCs w:val="22"/>
        </w:rPr>
        <w:t xml:space="preserve"> on the </w:t>
      </w:r>
      <w:r w:rsidR="004C7793" w:rsidRPr="001D631D">
        <w:rPr>
          <w:rFonts w:cstheme="minorHAnsi"/>
          <w:color w:val="000000" w:themeColor="text1"/>
          <w:sz w:val="22"/>
          <w:szCs w:val="22"/>
        </w:rPr>
        <w:t>develop</w:t>
      </w:r>
      <w:r w:rsidR="009A6688">
        <w:rPr>
          <w:rFonts w:cstheme="minorHAnsi"/>
          <w:color w:val="000000" w:themeColor="text1"/>
          <w:sz w:val="22"/>
          <w:szCs w:val="22"/>
        </w:rPr>
        <w:t>ment of</w:t>
      </w:r>
      <w:r w:rsidR="004C7793" w:rsidRPr="001D631D">
        <w:rPr>
          <w:rFonts w:cstheme="minorHAnsi"/>
          <w:color w:val="000000" w:themeColor="text1"/>
          <w:sz w:val="22"/>
          <w:szCs w:val="22"/>
        </w:rPr>
        <w:t xml:space="preserve"> </w:t>
      </w:r>
      <w:r w:rsidR="004C7793" w:rsidRPr="001D631D">
        <w:rPr>
          <w:rFonts w:cstheme="minorHAnsi"/>
          <w:color w:val="000000" w:themeColor="text1"/>
          <w:sz w:val="22"/>
          <w:szCs w:val="22"/>
        </w:rPr>
        <w:lastRenderedPageBreak/>
        <w:t>capacity-building programmes on issues related to implementation and compliance with environmental obligations and agreements</w:t>
      </w:r>
      <w:r w:rsidR="0064614E">
        <w:rPr>
          <w:rFonts w:cstheme="minorHAnsi"/>
          <w:color w:val="000000" w:themeColor="text1"/>
          <w:sz w:val="22"/>
          <w:szCs w:val="22"/>
        </w:rPr>
        <w:t xml:space="preserve"> (</w:t>
      </w:r>
      <w:r w:rsidR="004C7793" w:rsidRPr="001D631D">
        <w:rPr>
          <w:rFonts w:cstheme="minorHAnsi"/>
          <w:color w:val="000000" w:themeColor="text1"/>
          <w:sz w:val="22"/>
          <w:szCs w:val="22"/>
        </w:rPr>
        <w:t xml:space="preserve">including </w:t>
      </w:r>
      <w:r w:rsidR="00E56317">
        <w:rPr>
          <w:rFonts w:cstheme="minorHAnsi"/>
          <w:color w:val="000000" w:themeColor="text1"/>
          <w:sz w:val="22"/>
          <w:szCs w:val="22"/>
        </w:rPr>
        <w:t>EIAs and SEAs</w:t>
      </w:r>
      <w:r w:rsidR="0064614E">
        <w:rPr>
          <w:rFonts w:cstheme="minorHAnsi"/>
          <w:color w:val="000000" w:themeColor="text1"/>
          <w:sz w:val="22"/>
          <w:szCs w:val="22"/>
        </w:rPr>
        <w:t>)</w:t>
      </w:r>
      <w:r w:rsidR="004C7793" w:rsidRPr="001D631D">
        <w:rPr>
          <w:rFonts w:cstheme="minorHAnsi"/>
          <w:color w:val="000000" w:themeColor="text1"/>
          <w:sz w:val="22"/>
          <w:szCs w:val="22"/>
        </w:rPr>
        <w:t>.</w:t>
      </w:r>
    </w:p>
    <w:p w14:paraId="33F7B79A" w14:textId="77777777" w:rsidR="006B3A41" w:rsidRDefault="00B80007" w:rsidP="00645549">
      <w:pPr>
        <w:pStyle w:val="Heading1"/>
        <w:spacing w:line="240" w:lineRule="auto"/>
        <w:jc w:val="both"/>
      </w:pPr>
      <w:bookmarkStart w:id="8" w:name="_Toc5308778"/>
      <w:r w:rsidRPr="008652FC">
        <w:t xml:space="preserve">Implementation of </w:t>
      </w:r>
      <w:r w:rsidR="00680380">
        <w:t xml:space="preserve">environmental assessments in the </w:t>
      </w:r>
      <w:r w:rsidRPr="008652FC">
        <w:t>Mediterranean</w:t>
      </w:r>
      <w:bookmarkEnd w:id="8"/>
    </w:p>
    <w:p w14:paraId="414B4D36" w14:textId="77777777" w:rsidR="00C847F3" w:rsidRDefault="00C847F3" w:rsidP="007805E8">
      <w:pPr>
        <w:spacing w:after="0" w:line="240" w:lineRule="auto"/>
        <w:rPr>
          <w:rFonts w:cstheme="minorHAnsi"/>
        </w:rPr>
      </w:pPr>
    </w:p>
    <w:p w14:paraId="00DDE84A" w14:textId="4B795A00" w:rsidR="008E7640" w:rsidRPr="00A61080" w:rsidRDefault="009D2B82" w:rsidP="007805E8">
      <w:pPr>
        <w:spacing w:after="0" w:line="240" w:lineRule="auto"/>
        <w:rPr>
          <w:rFonts w:cstheme="minorHAnsi"/>
          <w:color w:val="000000" w:themeColor="text1"/>
        </w:rPr>
      </w:pPr>
      <w:r w:rsidRPr="00A61080">
        <w:rPr>
          <w:rFonts w:cstheme="minorHAnsi"/>
        </w:rPr>
        <w:t>Practically all the BC Contracting Parties apply EIA</w:t>
      </w:r>
      <w:r w:rsidR="006B3A41" w:rsidRPr="00A61080">
        <w:rPr>
          <w:rFonts w:cstheme="minorHAnsi"/>
        </w:rPr>
        <w:t xml:space="preserve"> procedures for </w:t>
      </w:r>
      <w:r w:rsidRPr="00A61080">
        <w:rPr>
          <w:rFonts w:cstheme="minorHAnsi"/>
        </w:rPr>
        <w:t>large-scale development proposal</w:t>
      </w:r>
      <w:r w:rsidR="008E7640" w:rsidRPr="00A61080">
        <w:rPr>
          <w:rFonts w:cstheme="minorHAnsi"/>
        </w:rPr>
        <w:t xml:space="preserve">s. </w:t>
      </w:r>
      <w:r w:rsidR="006B3A41" w:rsidRPr="00A61080">
        <w:rPr>
          <w:rFonts w:cstheme="minorHAnsi"/>
        </w:rPr>
        <w:t>R</w:t>
      </w:r>
      <w:r w:rsidR="008E7640" w:rsidRPr="00A61080">
        <w:rPr>
          <w:rFonts w:cstheme="minorHAnsi"/>
        </w:rPr>
        <w:t>ecent reports</w:t>
      </w:r>
      <w:r w:rsidR="00FA7A35">
        <w:rPr>
          <w:rFonts w:cstheme="minorHAnsi"/>
        </w:rPr>
        <w:t xml:space="preserve"> </w:t>
      </w:r>
      <w:r w:rsidR="008E7640" w:rsidRPr="00A61080">
        <w:rPr>
          <w:rFonts w:cstheme="minorHAnsi"/>
        </w:rPr>
        <w:t xml:space="preserve">on the implementation </w:t>
      </w:r>
      <w:r w:rsidR="006B3A41" w:rsidRPr="00A61080">
        <w:rPr>
          <w:rFonts w:cstheme="minorHAnsi"/>
        </w:rPr>
        <w:t xml:space="preserve">of the BC and its Protocols – parts referring to </w:t>
      </w:r>
      <w:r w:rsidR="008E7640" w:rsidRPr="00A61080">
        <w:rPr>
          <w:rFonts w:cstheme="minorHAnsi"/>
        </w:rPr>
        <w:t>Article 4.3(c) and 4.3(d) of the Convention and Articles 19 and 29 of the ICZM Protocol</w:t>
      </w:r>
      <w:r w:rsidR="006B3A41" w:rsidRPr="00A61080">
        <w:rPr>
          <w:rFonts w:cstheme="minorHAnsi"/>
        </w:rPr>
        <w:t xml:space="preserve"> – </w:t>
      </w:r>
      <w:r w:rsidR="00FA7A35">
        <w:rPr>
          <w:rFonts w:cstheme="minorHAnsi"/>
        </w:rPr>
        <w:t>and relevant documents</w:t>
      </w:r>
      <w:r w:rsidR="00FA7A35" w:rsidRPr="00A61080">
        <w:rPr>
          <w:rStyle w:val="FootnoteReference"/>
          <w:rFonts w:cstheme="minorHAnsi"/>
        </w:rPr>
        <w:footnoteReference w:id="9"/>
      </w:r>
      <w:r w:rsidR="00FA7A35" w:rsidRPr="00A61080">
        <w:rPr>
          <w:rFonts w:cstheme="minorHAnsi"/>
        </w:rPr>
        <w:t xml:space="preserve"> </w:t>
      </w:r>
      <w:r w:rsidR="006B3A41" w:rsidRPr="00A61080">
        <w:rPr>
          <w:rFonts w:cstheme="minorHAnsi"/>
        </w:rPr>
        <w:t xml:space="preserve">indicate good progress during the last </w:t>
      </w:r>
      <w:r w:rsidR="00FA7A35">
        <w:rPr>
          <w:rFonts w:cstheme="minorHAnsi"/>
        </w:rPr>
        <w:t>years</w:t>
      </w:r>
      <w:r w:rsidR="008E7640" w:rsidRPr="00A61080">
        <w:rPr>
          <w:rFonts w:cstheme="minorHAnsi"/>
        </w:rPr>
        <w:t>. At the same time</w:t>
      </w:r>
      <w:r w:rsidR="006B3A41" w:rsidRPr="00A61080">
        <w:rPr>
          <w:rFonts w:cstheme="minorHAnsi"/>
        </w:rPr>
        <w:t xml:space="preserve">, </w:t>
      </w:r>
      <w:r w:rsidR="008E7640" w:rsidRPr="00A61080">
        <w:rPr>
          <w:rFonts w:cstheme="minorHAnsi"/>
        </w:rPr>
        <w:t xml:space="preserve">room for improvements </w:t>
      </w:r>
      <w:r w:rsidR="00FA7A35">
        <w:rPr>
          <w:rFonts w:cstheme="minorHAnsi"/>
        </w:rPr>
        <w:t xml:space="preserve">has been </w:t>
      </w:r>
      <w:r w:rsidR="008E7640" w:rsidRPr="00A61080">
        <w:rPr>
          <w:rFonts w:cstheme="minorHAnsi"/>
        </w:rPr>
        <w:t xml:space="preserve">identified, in particular as regards </w:t>
      </w:r>
      <w:r w:rsidR="007805E8">
        <w:rPr>
          <w:rFonts w:cstheme="minorHAnsi"/>
        </w:rPr>
        <w:t xml:space="preserve">the need to better address </w:t>
      </w:r>
      <w:r w:rsidR="008E7640" w:rsidRPr="00A61080">
        <w:rPr>
          <w:rFonts w:cstheme="minorHAnsi"/>
        </w:rPr>
        <w:t>specificities and fragility of the Mediterranean coastal zones</w:t>
      </w:r>
      <w:r w:rsidR="007805E8">
        <w:rPr>
          <w:rFonts w:cstheme="minorHAnsi"/>
        </w:rPr>
        <w:t xml:space="preserve"> in assessing the impacts</w:t>
      </w:r>
      <w:r w:rsidRPr="00A61080">
        <w:rPr>
          <w:rFonts w:cstheme="minorHAnsi"/>
        </w:rPr>
        <w:t xml:space="preserve">. </w:t>
      </w:r>
      <w:r w:rsidR="008E7640" w:rsidRPr="00A61080">
        <w:rPr>
          <w:rFonts w:cstheme="minorHAnsi"/>
        </w:rPr>
        <w:t xml:space="preserve">SEAs are predominantly used </w:t>
      </w:r>
      <w:r w:rsidR="008E7640" w:rsidRPr="00A61080">
        <w:rPr>
          <w:rFonts w:cstheme="minorHAnsi"/>
          <w:color w:val="000000" w:themeColor="text1"/>
        </w:rPr>
        <w:t xml:space="preserve">in the EU </w:t>
      </w:r>
      <w:r w:rsidR="009F720A">
        <w:rPr>
          <w:rFonts w:cstheme="minorHAnsi"/>
          <w:color w:val="000000" w:themeColor="text1"/>
        </w:rPr>
        <w:t>m</w:t>
      </w:r>
      <w:r w:rsidR="008E7640" w:rsidRPr="00A61080">
        <w:rPr>
          <w:rFonts w:cstheme="minorHAnsi"/>
          <w:color w:val="000000" w:themeColor="text1"/>
        </w:rPr>
        <w:t xml:space="preserve">embers and </w:t>
      </w:r>
      <w:r w:rsidR="009F720A">
        <w:rPr>
          <w:rFonts w:cstheme="minorHAnsi"/>
          <w:color w:val="000000" w:themeColor="text1"/>
        </w:rPr>
        <w:t>c</w:t>
      </w:r>
      <w:r w:rsidR="008E7640" w:rsidRPr="00A61080">
        <w:rPr>
          <w:rFonts w:cstheme="minorHAnsi"/>
          <w:color w:val="000000" w:themeColor="text1"/>
        </w:rPr>
        <w:t xml:space="preserve">andidates, even though their importance is recognised by all the countries. </w:t>
      </w:r>
      <w:r w:rsidR="00F5258A">
        <w:rPr>
          <w:rFonts w:cstheme="minorHAnsi"/>
          <w:color w:val="000000" w:themeColor="text1"/>
        </w:rPr>
        <w:t>A</w:t>
      </w:r>
      <w:r w:rsidR="00F5258A" w:rsidRPr="00A61080">
        <w:rPr>
          <w:rFonts w:cstheme="minorHAnsi"/>
          <w:color w:val="000000" w:themeColor="text1"/>
        </w:rPr>
        <w:t>vailable reports/ relevant documents</w:t>
      </w:r>
      <w:r w:rsidR="00F5258A">
        <w:rPr>
          <w:rFonts w:cstheme="minorHAnsi"/>
          <w:color w:val="000000" w:themeColor="text1"/>
        </w:rPr>
        <w:t xml:space="preserve"> do not, however, focus on transboundary aspects, therefore limited information is available on how the Mediterranean countries cooperate on notification, exchange of information and consultations in assessing transboundary impacts of projects, plans or programmes.</w:t>
      </w:r>
    </w:p>
    <w:p w14:paraId="5C24FFED" w14:textId="77777777" w:rsidR="008E7640" w:rsidRPr="00A61080" w:rsidRDefault="008E7640" w:rsidP="007805E8">
      <w:pPr>
        <w:spacing w:after="0" w:line="240" w:lineRule="auto"/>
        <w:rPr>
          <w:rFonts w:cstheme="minorHAnsi"/>
        </w:rPr>
      </w:pPr>
    </w:p>
    <w:p w14:paraId="127B04EA" w14:textId="77777777" w:rsidR="00757C55" w:rsidRPr="00A61080" w:rsidRDefault="008E7640" w:rsidP="007805E8">
      <w:pPr>
        <w:spacing w:after="0" w:line="240" w:lineRule="auto"/>
        <w:rPr>
          <w:rFonts w:cstheme="minorHAnsi"/>
          <w:color w:val="000000" w:themeColor="text1"/>
        </w:rPr>
      </w:pPr>
      <w:r w:rsidRPr="00A61080">
        <w:rPr>
          <w:rFonts w:cstheme="minorHAnsi"/>
        </w:rPr>
        <w:t>L</w:t>
      </w:r>
      <w:r w:rsidR="00483321" w:rsidRPr="00A61080">
        <w:rPr>
          <w:rFonts w:cstheme="minorHAnsi"/>
        </w:rPr>
        <w:t xml:space="preserve">egal frameworks in the EU Member States are aligned with the EIA and SEA Directives </w:t>
      </w:r>
      <w:r w:rsidR="00A32109">
        <w:rPr>
          <w:rFonts w:cstheme="minorHAnsi"/>
        </w:rPr>
        <w:t xml:space="preserve">and </w:t>
      </w:r>
      <w:r w:rsidR="00044F6F">
        <w:rPr>
          <w:rFonts w:cstheme="minorHAnsi"/>
        </w:rPr>
        <w:t xml:space="preserve">their provisions on </w:t>
      </w:r>
      <w:r w:rsidR="00483321" w:rsidRPr="00A61080">
        <w:rPr>
          <w:rFonts w:cstheme="minorHAnsi"/>
        </w:rPr>
        <w:t>procedures in case of transboundary impacts. Candidate and/ or countries aspiring to join the EU are gradually bringing their environmental assessments</w:t>
      </w:r>
      <w:r w:rsidR="00A32109">
        <w:rPr>
          <w:rFonts w:cstheme="minorHAnsi"/>
        </w:rPr>
        <w:t xml:space="preserve"> regulations </w:t>
      </w:r>
      <w:r w:rsidR="00483321" w:rsidRPr="00A61080">
        <w:rPr>
          <w:rFonts w:cstheme="minorHAnsi"/>
        </w:rPr>
        <w:t xml:space="preserve">in line with the two Directives too. The UNECE instruments </w:t>
      </w:r>
      <w:r w:rsidR="00FA7A35">
        <w:rPr>
          <w:rFonts w:cstheme="minorHAnsi"/>
        </w:rPr>
        <w:t xml:space="preserve">steer </w:t>
      </w:r>
      <w:r w:rsidR="00483321" w:rsidRPr="00A61080">
        <w:rPr>
          <w:rFonts w:cstheme="minorHAnsi"/>
        </w:rPr>
        <w:t xml:space="preserve">the assessment processes </w:t>
      </w:r>
      <w:r w:rsidR="007805E8">
        <w:rPr>
          <w:rFonts w:cstheme="minorHAnsi"/>
        </w:rPr>
        <w:t xml:space="preserve">in the </w:t>
      </w:r>
      <w:r w:rsidR="00483321" w:rsidRPr="00A61080">
        <w:rPr>
          <w:rFonts w:cstheme="minorHAnsi"/>
        </w:rPr>
        <w:t xml:space="preserve">Parties to </w:t>
      </w:r>
      <w:r w:rsidR="006C3530">
        <w:rPr>
          <w:rFonts w:cstheme="minorHAnsi"/>
        </w:rPr>
        <w:t xml:space="preserve">the </w:t>
      </w:r>
      <w:r w:rsidR="00483321" w:rsidRPr="00A61080">
        <w:rPr>
          <w:rFonts w:cstheme="minorHAnsi"/>
        </w:rPr>
        <w:t xml:space="preserve">Espoo Convention and Kiev Protocol. </w:t>
      </w:r>
      <w:r w:rsidR="00CA750C">
        <w:rPr>
          <w:rFonts w:cstheme="minorHAnsi"/>
          <w:color w:val="000000" w:themeColor="text1"/>
        </w:rPr>
        <w:t>O</w:t>
      </w:r>
      <w:r w:rsidR="00483321" w:rsidRPr="00A61080">
        <w:rPr>
          <w:rFonts w:cstheme="minorHAnsi"/>
        </w:rPr>
        <w:t>n supranational level</w:t>
      </w:r>
      <w:r w:rsidR="00CA750C">
        <w:rPr>
          <w:rFonts w:cstheme="minorHAnsi"/>
        </w:rPr>
        <w:t xml:space="preserve">, </w:t>
      </w:r>
      <w:r w:rsidR="00CA750C" w:rsidRPr="00A61080">
        <w:rPr>
          <w:rFonts w:cstheme="minorHAnsi"/>
        </w:rPr>
        <w:t xml:space="preserve">the BC/ ICZM Protocol </w:t>
      </w:r>
      <w:r w:rsidR="00CA750C">
        <w:rPr>
          <w:rFonts w:cstheme="minorHAnsi"/>
        </w:rPr>
        <w:t xml:space="preserve">set </w:t>
      </w:r>
      <w:r w:rsidR="00CA750C" w:rsidRPr="00FA7A35">
        <w:rPr>
          <w:rFonts w:cstheme="minorHAnsi"/>
          <w:color w:val="000000" w:themeColor="text1"/>
        </w:rPr>
        <w:t>frame</w:t>
      </w:r>
      <w:r w:rsidR="00CA750C">
        <w:rPr>
          <w:rFonts w:cstheme="minorHAnsi"/>
          <w:color w:val="000000" w:themeColor="text1"/>
        </w:rPr>
        <w:t xml:space="preserve"> </w:t>
      </w:r>
      <w:r w:rsidR="00483321" w:rsidRPr="00A61080">
        <w:rPr>
          <w:rFonts w:cstheme="minorHAnsi"/>
        </w:rPr>
        <w:t xml:space="preserve">for </w:t>
      </w:r>
      <w:r w:rsidR="00CA750C">
        <w:rPr>
          <w:rFonts w:cstheme="minorHAnsi"/>
        </w:rPr>
        <w:t xml:space="preserve">implementation of </w:t>
      </w:r>
      <w:r w:rsidR="00483321" w:rsidRPr="00A61080">
        <w:rPr>
          <w:rFonts w:cstheme="minorHAnsi"/>
        </w:rPr>
        <w:t>transboundary assessments</w:t>
      </w:r>
      <w:r w:rsidR="00CA750C">
        <w:rPr>
          <w:rFonts w:cstheme="minorHAnsi"/>
        </w:rPr>
        <w:t xml:space="preserve"> f</w:t>
      </w:r>
      <w:r w:rsidR="00CA750C" w:rsidRPr="00A61080">
        <w:rPr>
          <w:rFonts w:cstheme="minorHAnsi"/>
        </w:rPr>
        <w:t>or the Contracting Parties that are not part of the UNECE region</w:t>
      </w:r>
      <w:r w:rsidR="00483321" w:rsidRPr="00A61080">
        <w:rPr>
          <w:rStyle w:val="FootnoteReference"/>
          <w:rFonts w:cstheme="minorHAnsi"/>
        </w:rPr>
        <w:footnoteReference w:id="10"/>
      </w:r>
      <w:r w:rsidR="00483321" w:rsidRPr="00A61080">
        <w:rPr>
          <w:rFonts w:cstheme="minorHAnsi"/>
        </w:rPr>
        <w:t>.</w:t>
      </w:r>
      <w:r w:rsidR="00CA750C">
        <w:rPr>
          <w:rFonts w:cstheme="minorHAnsi"/>
        </w:rPr>
        <w:t xml:space="preserve"> </w:t>
      </w:r>
      <w:r w:rsidR="00757C55" w:rsidRPr="00A61080">
        <w:rPr>
          <w:rFonts w:cstheme="minorHAnsi"/>
          <w:color w:val="000000" w:themeColor="text1"/>
        </w:rPr>
        <w:t xml:space="preserve">An overview of the international instruments (including status of their ratifications) and national legislation governing environmental assessments is provided in </w:t>
      </w:r>
      <w:r w:rsidR="00757C55" w:rsidRPr="009F720A">
        <w:rPr>
          <w:rFonts w:cstheme="minorHAnsi"/>
          <w:color w:val="833C0B" w:themeColor="accent2" w:themeShade="80"/>
        </w:rPr>
        <w:t xml:space="preserve">Table </w:t>
      </w:r>
      <w:r w:rsidR="00C56A9D" w:rsidRPr="009F720A">
        <w:rPr>
          <w:rFonts w:cstheme="minorHAnsi"/>
          <w:color w:val="833C0B" w:themeColor="accent2" w:themeShade="80"/>
        </w:rPr>
        <w:t>4-1</w:t>
      </w:r>
      <w:r w:rsidR="00757C55" w:rsidRPr="00A61080">
        <w:rPr>
          <w:rFonts w:cstheme="minorHAnsi"/>
          <w:color w:val="000000" w:themeColor="text1"/>
        </w:rPr>
        <w:t xml:space="preserve">. </w:t>
      </w:r>
    </w:p>
    <w:p w14:paraId="14782D79" w14:textId="77777777" w:rsidR="00C56A9D" w:rsidRDefault="00C56A9D" w:rsidP="007805E8">
      <w:pPr>
        <w:spacing w:after="0" w:line="240" w:lineRule="auto"/>
        <w:rPr>
          <w:rFonts w:cstheme="minorHAnsi"/>
        </w:rPr>
      </w:pPr>
    </w:p>
    <w:p w14:paraId="617531BA" w14:textId="77777777" w:rsidR="00483321" w:rsidRPr="00A61080" w:rsidRDefault="00C56A9D" w:rsidP="007805E8">
      <w:pPr>
        <w:spacing w:after="0" w:line="240" w:lineRule="auto"/>
        <w:rPr>
          <w:rFonts w:cstheme="minorHAnsi"/>
        </w:rPr>
      </w:pPr>
      <w:r>
        <w:rPr>
          <w:rFonts w:cstheme="minorHAnsi"/>
        </w:rPr>
        <w:t>S</w:t>
      </w:r>
      <w:r w:rsidR="00483321" w:rsidRPr="00A61080">
        <w:rPr>
          <w:rFonts w:cstheme="minorHAnsi"/>
        </w:rPr>
        <w:t>ome form of EIA regulations was in place in at least 20 out of 22 Contracting Parties to the B</w:t>
      </w:r>
      <w:r>
        <w:rPr>
          <w:rFonts w:cstheme="minorHAnsi"/>
        </w:rPr>
        <w:t xml:space="preserve">C </w:t>
      </w:r>
      <w:r w:rsidR="00483321" w:rsidRPr="00A61080">
        <w:rPr>
          <w:rFonts w:cstheme="minorHAnsi"/>
        </w:rPr>
        <w:t xml:space="preserve">at the </w:t>
      </w:r>
      <w:r w:rsidR="00483321" w:rsidRPr="009F720A">
        <w:rPr>
          <w:rFonts w:cstheme="minorHAnsi"/>
        </w:rPr>
        <w:t xml:space="preserve">time of drafting this </w:t>
      </w:r>
      <w:r w:rsidRPr="009F720A">
        <w:rPr>
          <w:rFonts w:cstheme="minorHAnsi"/>
        </w:rPr>
        <w:t xml:space="preserve">Guidelines </w:t>
      </w:r>
      <w:r w:rsidR="00483321" w:rsidRPr="009F720A">
        <w:rPr>
          <w:rFonts w:cstheme="minorHAnsi"/>
        </w:rPr>
        <w:t xml:space="preserve">(information was not available </w:t>
      </w:r>
      <w:r w:rsidR="006C3530" w:rsidRPr="009F720A">
        <w:rPr>
          <w:rFonts w:cstheme="minorHAnsi"/>
        </w:rPr>
        <w:t xml:space="preserve">for </w:t>
      </w:r>
      <w:r w:rsidR="00483321" w:rsidRPr="009F720A">
        <w:rPr>
          <w:rFonts w:cstheme="minorHAnsi"/>
        </w:rPr>
        <w:t>Egypt and Monaco).</w:t>
      </w:r>
      <w:r w:rsidR="00483321" w:rsidRPr="00A61080">
        <w:rPr>
          <w:rFonts w:cstheme="minorHAnsi"/>
        </w:rPr>
        <w:t xml:space="preserve"> In their National Implementation Reports for the 2014-2015 biennium, </w:t>
      </w:r>
      <w:r w:rsidR="00483321" w:rsidRPr="00224725">
        <w:rPr>
          <w:rFonts w:cstheme="minorHAnsi"/>
        </w:rPr>
        <w:t>12 Contracting Parties reported having put in place cooperation mechanisms and/ or institutional structures for notification, exchange of information and consultation for transboundary EIAs, mainly through the EIA laws. The EIA regulations in countries outside the area of application of the EU and UNECE instruments</w:t>
      </w:r>
      <w:r w:rsidR="00483321" w:rsidRPr="00A61080">
        <w:rPr>
          <w:rFonts w:cstheme="minorHAnsi"/>
        </w:rPr>
        <w:t xml:space="preserve"> as a rule do not contain provisions on how the procedures should be conducted in case of transboundary impacts. </w:t>
      </w:r>
    </w:p>
    <w:p w14:paraId="6801A44E" w14:textId="77777777" w:rsidR="00483321" w:rsidRPr="00A61080" w:rsidRDefault="00483321" w:rsidP="007805E8">
      <w:pPr>
        <w:spacing w:after="0" w:line="240" w:lineRule="auto"/>
        <w:rPr>
          <w:rFonts w:cstheme="minorHAnsi"/>
        </w:rPr>
      </w:pPr>
    </w:p>
    <w:p w14:paraId="306E057F" w14:textId="77777777" w:rsidR="00D87EBA" w:rsidRDefault="00483321" w:rsidP="00A61080">
      <w:pPr>
        <w:spacing w:after="0" w:line="240" w:lineRule="auto"/>
        <w:rPr>
          <w:rFonts w:cstheme="minorHAnsi"/>
        </w:rPr>
      </w:pPr>
      <w:r w:rsidRPr="00A61080">
        <w:rPr>
          <w:rFonts w:cstheme="minorHAnsi"/>
        </w:rPr>
        <w:t>SEAs usually take multiple forms and employ diverse methods and procedures, sometimes without an adequate legal framework and institutional set-up. This creates difficulties, particularly for comparability in a transboundary context. Examples of good practice transboundary SEAs exist in the region but more efforts are needed to ensure effective application of notification, exchange of information and consultations requirements in assessing transboundary impacts of plans and programmes.</w:t>
      </w:r>
    </w:p>
    <w:p w14:paraId="4720C10B" w14:textId="77777777" w:rsidR="009F720A" w:rsidRDefault="009F720A" w:rsidP="00A61080">
      <w:pPr>
        <w:spacing w:after="0" w:line="240" w:lineRule="auto"/>
        <w:rPr>
          <w:rFonts w:cstheme="minorHAnsi"/>
        </w:rPr>
      </w:pPr>
    </w:p>
    <w:p w14:paraId="177B5469" w14:textId="77777777" w:rsidR="00E56317" w:rsidRDefault="00E56317" w:rsidP="00D87EBA">
      <w:pPr>
        <w:spacing w:after="0" w:line="240" w:lineRule="auto"/>
        <w:rPr>
          <w:i/>
          <w:color w:val="1F4E79" w:themeColor="accent1" w:themeShade="80"/>
          <w:sz w:val="20"/>
          <w:szCs w:val="20"/>
        </w:rPr>
      </w:pPr>
    </w:p>
    <w:p w14:paraId="43263C3D" w14:textId="2046B3DF" w:rsidR="00D87EBA" w:rsidRPr="00D87EBA" w:rsidRDefault="00D87EBA" w:rsidP="00D87EBA">
      <w:pPr>
        <w:spacing w:after="0" w:line="240" w:lineRule="auto"/>
        <w:rPr>
          <w:i/>
          <w:color w:val="1F4E79" w:themeColor="accent1" w:themeShade="80"/>
          <w:sz w:val="20"/>
          <w:szCs w:val="20"/>
        </w:rPr>
      </w:pPr>
      <w:r w:rsidRPr="00D87EBA">
        <w:rPr>
          <w:i/>
          <w:color w:val="1F4E79" w:themeColor="accent1" w:themeShade="80"/>
          <w:sz w:val="20"/>
          <w:szCs w:val="20"/>
        </w:rPr>
        <w:lastRenderedPageBreak/>
        <w:t xml:space="preserve">Box </w:t>
      </w:r>
      <w:r w:rsidR="00347274">
        <w:rPr>
          <w:i/>
          <w:color w:val="1F4E79" w:themeColor="accent1" w:themeShade="80"/>
          <w:sz w:val="20"/>
          <w:szCs w:val="20"/>
        </w:rPr>
        <w:fldChar w:fldCharType="begin"/>
      </w:r>
      <w:r w:rsidR="00347274">
        <w:rPr>
          <w:i/>
          <w:color w:val="1F4E79" w:themeColor="accent1" w:themeShade="80"/>
          <w:sz w:val="20"/>
          <w:szCs w:val="20"/>
        </w:rPr>
        <w:instrText xml:space="preserve"> STYLEREF 1 \s </w:instrText>
      </w:r>
      <w:r w:rsidR="00347274">
        <w:rPr>
          <w:i/>
          <w:color w:val="1F4E79" w:themeColor="accent1" w:themeShade="80"/>
          <w:sz w:val="20"/>
          <w:szCs w:val="20"/>
        </w:rPr>
        <w:fldChar w:fldCharType="separate"/>
      </w:r>
      <w:r w:rsidR="005A000D">
        <w:rPr>
          <w:i/>
          <w:noProof/>
          <w:color w:val="1F4E79" w:themeColor="accent1" w:themeShade="80"/>
          <w:sz w:val="20"/>
          <w:szCs w:val="20"/>
        </w:rPr>
        <w:t>4</w:t>
      </w:r>
      <w:r w:rsidR="00347274">
        <w:rPr>
          <w:i/>
          <w:color w:val="1F4E79" w:themeColor="accent1" w:themeShade="80"/>
          <w:sz w:val="20"/>
          <w:szCs w:val="20"/>
        </w:rPr>
        <w:fldChar w:fldCharType="end"/>
      </w:r>
      <w:r w:rsidR="00347274">
        <w:rPr>
          <w:i/>
          <w:color w:val="1F4E79" w:themeColor="accent1" w:themeShade="80"/>
          <w:sz w:val="20"/>
          <w:szCs w:val="20"/>
        </w:rPr>
        <w:noBreakHyphen/>
      </w:r>
      <w:r w:rsidR="00347274">
        <w:rPr>
          <w:i/>
          <w:color w:val="1F4E79" w:themeColor="accent1" w:themeShade="80"/>
          <w:sz w:val="20"/>
          <w:szCs w:val="20"/>
        </w:rPr>
        <w:fldChar w:fldCharType="begin"/>
      </w:r>
      <w:r w:rsidR="00347274">
        <w:rPr>
          <w:i/>
          <w:color w:val="1F4E79" w:themeColor="accent1" w:themeShade="80"/>
          <w:sz w:val="20"/>
          <w:szCs w:val="20"/>
        </w:rPr>
        <w:instrText xml:space="preserve"> SEQ Box \* ARABIC \s 1 </w:instrText>
      </w:r>
      <w:r w:rsidR="00347274">
        <w:rPr>
          <w:i/>
          <w:color w:val="1F4E79" w:themeColor="accent1" w:themeShade="80"/>
          <w:sz w:val="20"/>
          <w:szCs w:val="20"/>
        </w:rPr>
        <w:fldChar w:fldCharType="separate"/>
      </w:r>
      <w:r w:rsidR="005A000D">
        <w:rPr>
          <w:i/>
          <w:noProof/>
          <w:color w:val="1F4E79" w:themeColor="accent1" w:themeShade="80"/>
          <w:sz w:val="20"/>
          <w:szCs w:val="20"/>
        </w:rPr>
        <w:t>1</w:t>
      </w:r>
      <w:r w:rsidR="00347274">
        <w:rPr>
          <w:i/>
          <w:color w:val="1F4E79" w:themeColor="accent1" w:themeShade="80"/>
          <w:sz w:val="20"/>
          <w:szCs w:val="20"/>
        </w:rPr>
        <w:fldChar w:fldCharType="end"/>
      </w:r>
      <w:r w:rsidRPr="00D87EBA">
        <w:rPr>
          <w:i/>
          <w:color w:val="1F4E79" w:themeColor="accent1" w:themeShade="80"/>
          <w:sz w:val="20"/>
          <w:szCs w:val="20"/>
        </w:rPr>
        <w:t xml:space="preserve">: EIA for the Baltic Sea Gas Pipeline </w:t>
      </w:r>
    </w:p>
    <w:tbl>
      <w:tblPr>
        <w:tblStyle w:val="TableGrid"/>
        <w:tblW w:w="0" w:type="auto"/>
        <w:tblLook w:val="04A0" w:firstRow="1" w:lastRow="0" w:firstColumn="1" w:lastColumn="0" w:noHBand="0" w:noVBand="1"/>
      </w:tblPr>
      <w:tblGrid>
        <w:gridCol w:w="9060"/>
      </w:tblGrid>
      <w:tr w:rsidR="00D87EBA" w14:paraId="2DD67563" w14:textId="77777777" w:rsidTr="00D87EBA">
        <w:tc>
          <w:tcPr>
            <w:tcW w:w="9060" w:type="dxa"/>
          </w:tcPr>
          <w:p w14:paraId="53B451AF" w14:textId="77777777" w:rsidR="00D87EBA" w:rsidRDefault="00D87EBA" w:rsidP="00346133">
            <w:pPr>
              <w:rPr>
                <w:sz w:val="20"/>
                <w:szCs w:val="20"/>
              </w:rPr>
            </w:pPr>
            <w:r w:rsidRPr="00841227">
              <w:rPr>
                <w:sz w:val="20"/>
                <w:szCs w:val="20"/>
              </w:rPr>
              <w:t>The deployment of the first Baltic Sea Gas Pipeline (BSGP) was identified as a project likely to give rise to significant environmental impacts at a transboundary level affecting all the countries bordering the Baltic Sea. The countries of origin included four EU Member States (Sweden, Finland, Denmark and Germany) who shared common regulations on Environmental Impact Assessment (EIA) in addition to being Parties to the Espoo Convention; and the Russian Federation, only a signatory to the Convention and with its own distinct national regulations on environmental assessment of projects. Despite this difference these five countries agreed to co-operate to guide the process concerning the EIA and decided that all nine Baltic States are affected, even those countries where the pipeline will not traverse (Estonia, Lithuania, Latvia and Poland). The international Espoo contact points from the five countries of origin established a procedure of meetings where the affected countries and the company responsible for the project attended most of the meetings. The main task of these meetings was</w:t>
            </w:r>
            <w:r>
              <w:rPr>
                <w:sz w:val="20"/>
                <w:szCs w:val="20"/>
              </w:rPr>
              <w:t xml:space="preserve"> to</w:t>
            </w:r>
            <w:r w:rsidRPr="00841227">
              <w:rPr>
                <w:sz w:val="20"/>
                <w:szCs w:val="20"/>
              </w:rPr>
              <w:t>:</w:t>
            </w:r>
          </w:p>
          <w:p w14:paraId="47AE92D8" w14:textId="77777777" w:rsidR="00D87EBA" w:rsidRPr="00841227" w:rsidRDefault="00D87EBA" w:rsidP="00346133">
            <w:pPr>
              <w:rPr>
                <w:sz w:val="20"/>
                <w:szCs w:val="20"/>
              </w:rPr>
            </w:pPr>
          </w:p>
          <w:p w14:paraId="0F44545E" w14:textId="77777777" w:rsidR="00D87EBA" w:rsidRPr="00841227" w:rsidRDefault="00D87EBA" w:rsidP="00D87EBA">
            <w:pPr>
              <w:pStyle w:val="ListParagraph"/>
              <w:numPr>
                <w:ilvl w:val="0"/>
                <w:numId w:val="23"/>
              </w:numPr>
              <w:rPr>
                <w:sz w:val="20"/>
                <w:szCs w:val="20"/>
              </w:rPr>
            </w:pPr>
            <w:r w:rsidRPr="00841227">
              <w:rPr>
                <w:sz w:val="20"/>
                <w:szCs w:val="20"/>
              </w:rPr>
              <w:t>ensure that the company makes an Environmental Impact Statement</w:t>
            </w:r>
            <w:r>
              <w:rPr>
                <w:sz w:val="20"/>
                <w:szCs w:val="20"/>
              </w:rPr>
              <w:t xml:space="preserve"> (EIS)</w:t>
            </w:r>
            <w:r w:rsidRPr="00841227">
              <w:rPr>
                <w:sz w:val="20"/>
                <w:szCs w:val="20"/>
              </w:rPr>
              <w:t xml:space="preserve"> for the whole pipeline in addition to the assessment of individual segments on the basis of relevant national EIA legislation; </w:t>
            </w:r>
          </w:p>
          <w:p w14:paraId="4B656334" w14:textId="77777777" w:rsidR="00D87EBA" w:rsidRPr="00841227" w:rsidRDefault="00D87EBA" w:rsidP="00D87EBA">
            <w:pPr>
              <w:pStyle w:val="ListParagraph"/>
              <w:numPr>
                <w:ilvl w:val="0"/>
                <w:numId w:val="23"/>
              </w:numPr>
              <w:rPr>
                <w:sz w:val="20"/>
                <w:szCs w:val="20"/>
              </w:rPr>
            </w:pPr>
            <w:r w:rsidRPr="00841227">
              <w:rPr>
                <w:sz w:val="20"/>
                <w:szCs w:val="20"/>
              </w:rPr>
              <w:t>oversee that the minimum technical requirements of the Espoo Convention were met;</w:t>
            </w:r>
          </w:p>
          <w:p w14:paraId="0B9B9F8E" w14:textId="77777777" w:rsidR="00D87EBA" w:rsidRPr="00841227" w:rsidRDefault="00D87EBA" w:rsidP="00D87EBA">
            <w:pPr>
              <w:pStyle w:val="ListParagraph"/>
              <w:numPr>
                <w:ilvl w:val="0"/>
                <w:numId w:val="23"/>
              </w:numPr>
              <w:rPr>
                <w:sz w:val="20"/>
                <w:szCs w:val="20"/>
              </w:rPr>
            </w:pPr>
            <w:r w:rsidRPr="00841227">
              <w:rPr>
                <w:sz w:val="20"/>
                <w:szCs w:val="20"/>
              </w:rPr>
              <w:t>co-ordinate the way the 5 national EIA procedures functioned;</w:t>
            </w:r>
          </w:p>
          <w:p w14:paraId="6C44C002" w14:textId="77777777" w:rsidR="00D87EBA" w:rsidRPr="00841227" w:rsidRDefault="00D87EBA" w:rsidP="00D87EBA">
            <w:pPr>
              <w:pStyle w:val="ListParagraph"/>
              <w:numPr>
                <w:ilvl w:val="0"/>
                <w:numId w:val="23"/>
              </w:numPr>
              <w:rPr>
                <w:sz w:val="20"/>
                <w:szCs w:val="20"/>
              </w:rPr>
            </w:pPr>
            <w:r w:rsidRPr="00841227">
              <w:rPr>
                <w:sz w:val="20"/>
                <w:szCs w:val="20"/>
              </w:rPr>
              <w:t>direct communication between the contact points and the company to ensure that the EIS for the whole project met the technical requirements of the Convention;</w:t>
            </w:r>
          </w:p>
          <w:p w14:paraId="2486FA20" w14:textId="77777777" w:rsidR="00D87EBA" w:rsidRDefault="00D87EBA" w:rsidP="00346133">
            <w:pPr>
              <w:rPr>
                <w:sz w:val="20"/>
                <w:szCs w:val="20"/>
              </w:rPr>
            </w:pPr>
          </w:p>
          <w:p w14:paraId="2341C95B" w14:textId="65391667" w:rsidR="00D87EBA" w:rsidRPr="00E56317" w:rsidRDefault="00D87EBA" w:rsidP="00E56317">
            <w:pPr>
              <w:rPr>
                <w:sz w:val="20"/>
                <w:szCs w:val="20"/>
              </w:rPr>
            </w:pPr>
            <w:r w:rsidRPr="00841227">
              <w:rPr>
                <w:sz w:val="20"/>
                <w:szCs w:val="20"/>
              </w:rPr>
              <w:t xml:space="preserve">Harmonisation of data proved challenging but efforts succeeded to enable the EIS for the whole project to be completed. The public consultation process included the provision of copies of the scoping document and the EIS for the whole project displayed and open for comments at the same time in all nine countries. The documents prepared by the company were translated in all the nine languages. Each respective segment of the pipeline was than assessed at the national level following the respective EIA legislation. The synchronisation of these two levels of assessment was made possible by the national Espoo contact points. Though the process raised particular concerns on the assessment of alternatives the co-ordination meetings managed a complex project effectively. </w:t>
            </w:r>
          </w:p>
        </w:tc>
      </w:tr>
    </w:tbl>
    <w:p w14:paraId="1113E02C" w14:textId="3CD88DF9" w:rsidR="00E56317" w:rsidRPr="00E56317" w:rsidRDefault="00E56317" w:rsidP="00E56317">
      <w:pPr>
        <w:spacing w:after="0" w:line="240" w:lineRule="auto"/>
        <w:rPr>
          <w:sz w:val="20"/>
          <w:szCs w:val="20"/>
        </w:rPr>
      </w:pPr>
      <w:r w:rsidRPr="00E56317">
        <w:rPr>
          <w:sz w:val="20"/>
          <w:szCs w:val="20"/>
        </w:rPr>
        <w:t xml:space="preserve">Source: </w:t>
      </w:r>
      <w:proofErr w:type="spellStart"/>
      <w:r w:rsidRPr="00E56317">
        <w:rPr>
          <w:sz w:val="20"/>
          <w:szCs w:val="20"/>
        </w:rPr>
        <w:t>Koivurova</w:t>
      </w:r>
      <w:proofErr w:type="spellEnd"/>
      <w:r w:rsidRPr="00E56317">
        <w:rPr>
          <w:sz w:val="20"/>
          <w:szCs w:val="20"/>
        </w:rPr>
        <w:t xml:space="preserve"> T. et al (2010) Transboundary Environmental Impact Assessment in the Case of the Baltic Sea Gas Pipeline. International Journal of Coastal Law.151-181. </w:t>
      </w:r>
      <w:proofErr w:type="spellStart"/>
      <w:r w:rsidRPr="00E56317">
        <w:rPr>
          <w:sz w:val="20"/>
          <w:szCs w:val="20"/>
        </w:rPr>
        <w:t>Martinus</w:t>
      </w:r>
      <w:proofErr w:type="spellEnd"/>
      <w:r w:rsidRPr="00E56317">
        <w:rPr>
          <w:sz w:val="20"/>
          <w:szCs w:val="20"/>
        </w:rPr>
        <w:t xml:space="preserve"> </w:t>
      </w:r>
      <w:proofErr w:type="spellStart"/>
      <w:r w:rsidRPr="00E56317">
        <w:rPr>
          <w:sz w:val="20"/>
          <w:szCs w:val="20"/>
        </w:rPr>
        <w:t>Nijihoff</w:t>
      </w:r>
      <w:proofErr w:type="spellEnd"/>
      <w:r w:rsidRPr="00E56317">
        <w:rPr>
          <w:sz w:val="20"/>
          <w:szCs w:val="20"/>
        </w:rPr>
        <w:t xml:space="preserve"> Publishers.</w:t>
      </w:r>
    </w:p>
    <w:p w14:paraId="35F30C6C" w14:textId="77777777" w:rsidR="00E56317" w:rsidRDefault="00E56317" w:rsidP="00E56317">
      <w:pPr>
        <w:spacing w:after="0" w:line="240" w:lineRule="auto"/>
      </w:pPr>
    </w:p>
    <w:p w14:paraId="57289CA6" w14:textId="01115CC0" w:rsidR="00E56317" w:rsidRPr="00E56317" w:rsidRDefault="00E56317" w:rsidP="00E56317">
      <w:pPr>
        <w:pStyle w:val="Caption"/>
        <w:spacing w:after="0"/>
        <w:rPr>
          <w:sz w:val="20"/>
          <w:szCs w:val="20"/>
        </w:rPr>
      </w:pPr>
      <w:r w:rsidRPr="00E56317">
        <w:rPr>
          <w:sz w:val="20"/>
          <w:szCs w:val="20"/>
        </w:rPr>
        <w:t xml:space="preserve">Box </w:t>
      </w:r>
      <w:r w:rsidR="00347274">
        <w:rPr>
          <w:sz w:val="20"/>
          <w:szCs w:val="20"/>
        </w:rPr>
        <w:fldChar w:fldCharType="begin"/>
      </w:r>
      <w:r w:rsidR="00347274">
        <w:rPr>
          <w:sz w:val="20"/>
          <w:szCs w:val="20"/>
        </w:rPr>
        <w:instrText xml:space="preserve"> STYLEREF 1 \s </w:instrText>
      </w:r>
      <w:r w:rsidR="00347274">
        <w:rPr>
          <w:sz w:val="20"/>
          <w:szCs w:val="20"/>
        </w:rPr>
        <w:fldChar w:fldCharType="separate"/>
      </w:r>
      <w:r w:rsidR="005A000D">
        <w:rPr>
          <w:noProof/>
          <w:sz w:val="20"/>
          <w:szCs w:val="20"/>
        </w:rPr>
        <w:t>4</w:t>
      </w:r>
      <w:r w:rsidR="00347274">
        <w:rPr>
          <w:sz w:val="20"/>
          <w:szCs w:val="20"/>
        </w:rPr>
        <w:fldChar w:fldCharType="end"/>
      </w:r>
      <w:r w:rsidR="00347274">
        <w:rPr>
          <w:sz w:val="20"/>
          <w:szCs w:val="20"/>
        </w:rPr>
        <w:noBreakHyphen/>
      </w:r>
      <w:r w:rsidR="00347274">
        <w:rPr>
          <w:sz w:val="20"/>
          <w:szCs w:val="20"/>
        </w:rPr>
        <w:fldChar w:fldCharType="begin"/>
      </w:r>
      <w:r w:rsidR="00347274">
        <w:rPr>
          <w:sz w:val="20"/>
          <w:szCs w:val="20"/>
        </w:rPr>
        <w:instrText xml:space="preserve"> SEQ Box \* ARABIC \s 1 </w:instrText>
      </w:r>
      <w:r w:rsidR="00347274">
        <w:rPr>
          <w:sz w:val="20"/>
          <w:szCs w:val="20"/>
        </w:rPr>
        <w:fldChar w:fldCharType="separate"/>
      </w:r>
      <w:r w:rsidR="005A000D">
        <w:rPr>
          <w:noProof/>
          <w:sz w:val="20"/>
          <w:szCs w:val="20"/>
        </w:rPr>
        <w:t>2</w:t>
      </w:r>
      <w:r w:rsidR="00347274">
        <w:rPr>
          <w:sz w:val="20"/>
          <w:szCs w:val="20"/>
        </w:rPr>
        <w:fldChar w:fldCharType="end"/>
      </w:r>
      <w:r w:rsidRPr="00E56317">
        <w:rPr>
          <w:sz w:val="20"/>
          <w:szCs w:val="20"/>
        </w:rPr>
        <w:t>:  EIA for the electricity interconnection</w:t>
      </w:r>
      <w:r>
        <w:rPr>
          <w:sz w:val="20"/>
          <w:szCs w:val="20"/>
        </w:rPr>
        <w:t xml:space="preserve"> through the Strait of Gibraltar</w:t>
      </w:r>
    </w:p>
    <w:tbl>
      <w:tblPr>
        <w:tblStyle w:val="TableGrid"/>
        <w:tblW w:w="0" w:type="auto"/>
        <w:tblLook w:val="04A0" w:firstRow="1" w:lastRow="0" w:firstColumn="1" w:lastColumn="0" w:noHBand="0" w:noVBand="1"/>
      </w:tblPr>
      <w:tblGrid>
        <w:gridCol w:w="9060"/>
      </w:tblGrid>
      <w:tr w:rsidR="00E56317" w14:paraId="5D8705BF" w14:textId="77777777" w:rsidTr="00E56317">
        <w:tc>
          <w:tcPr>
            <w:tcW w:w="9060" w:type="dxa"/>
          </w:tcPr>
          <w:p w14:paraId="4C0E5E0D" w14:textId="77777777" w:rsidR="00E56317" w:rsidRPr="00841227" w:rsidRDefault="00E56317" w:rsidP="00346133">
            <w:pPr>
              <w:rPr>
                <w:rFonts w:cstheme="minorHAnsi"/>
                <w:color w:val="000000" w:themeColor="text1"/>
                <w:sz w:val="20"/>
                <w:szCs w:val="20"/>
              </w:rPr>
            </w:pPr>
            <w:r w:rsidRPr="00841227">
              <w:rPr>
                <w:rFonts w:cstheme="minorHAnsi"/>
                <w:color w:val="000000" w:themeColor="text1"/>
                <w:sz w:val="20"/>
                <w:szCs w:val="20"/>
              </w:rPr>
              <w:t xml:space="preserve">Transboundary project to construct second electricity interconnection between Morocco and Spain was finalised in 2006 (the first interconnection was in operation since 1997). A 400 kV underwater cable was laid down alongside the 31.3 km long route through the Strait of Gibraltar connecting </w:t>
            </w:r>
            <w:r>
              <w:rPr>
                <w:rFonts w:cstheme="minorHAnsi"/>
                <w:color w:val="000000" w:themeColor="text1"/>
                <w:sz w:val="20"/>
                <w:szCs w:val="20"/>
              </w:rPr>
              <w:t xml:space="preserve">substations in </w:t>
            </w:r>
            <w:proofErr w:type="spellStart"/>
            <w:r w:rsidRPr="00841227">
              <w:rPr>
                <w:rFonts w:cstheme="minorHAnsi"/>
                <w:color w:val="000000" w:themeColor="text1"/>
                <w:sz w:val="20"/>
                <w:szCs w:val="20"/>
              </w:rPr>
              <w:t>Fardioua</w:t>
            </w:r>
            <w:proofErr w:type="spellEnd"/>
            <w:r w:rsidRPr="00841227">
              <w:rPr>
                <w:rFonts w:cstheme="minorHAnsi"/>
                <w:color w:val="000000" w:themeColor="text1"/>
                <w:sz w:val="20"/>
                <w:szCs w:val="20"/>
              </w:rPr>
              <w:t xml:space="preserve">, Morocco, and Tarifa, Spain. Four underwater cables were deposited on the seabed at </w:t>
            </w:r>
            <w:r>
              <w:rPr>
                <w:rFonts w:cstheme="minorHAnsi"/>
                <w:color w:val="000000" w:themeColor="text1"/>
                <w:sz w:val="20"/>
                <w:szCs w:val="20"/>
              </w:rPr>
              <w:t xml:space="preserve">a </w:t>
            </w:r>
            <w:r w:rsidRPr="00841227">
              <w:rPr>
                <w:rFonts w:cstheme="minorHAnsi"/>
                <w:color w:val="000000" w:themeColor="text1"/>
                <w:sz w:val="20"/>
                <w:szCs w:val="20"/>
              </w:rPr>
              <w:t xml:space="preserve">maximum depth of 620 m, some 500 m to the west from the route of the first interconnection. The project also entailed extension of the two substations. The total </w:t>
            </w:r>
            <w:r>
              <w:rPr>
                <w:rFonts w:cstheme="minorHAnsi"/>
                <w:color w:val="000000" w:themeColor="text1"/>
                <w:sz w:val="20"/>
                <w:szCs w:val="20"/>
              </w:rPr>
              <w:t xml:space="preserve">cost </w:t>
            </w:r>
            <w:r w:rsidRPr="00841227">
              <w:rPr>
                <w:rFonts w:cstheme="minorHAnsi"/>
                <w:color w:val="000000" w:themeColor="text1"/>
                <w:sz w:val="20"/>
                <w:szCs w:val="20"/>
              </w:rPr>
              <w:t>of the project was 115 million euros.</w:t>
            </w:r>
          </w:p>
          <w:p w14:paraId="5E3AF914" w14:textId="77777777" w:rsidR="00E56317" w:rsidRPr="00841227" w:rsidRDefault="00E56317" w:rsidP="00346133">
            <w:pPr>
              <w:tabs>
                <w:tab w:val="left" w:pos="1050"/>
              </w:tabs>
              <w:rPr>
                <w:rFonts w:cstheme="minorHAnsi"/>
                <w:color w:val="000000" w:themeColor="text1"/>
                <w:sz w:val="20"/>
                <w:szCs w:val="20"/>
              </w:rPr>
            </w:pPr>
            <w:r w:rsidRPr="00841227">
              <w:rPr>
                <w:rFonts w:cstheme="minorHAnsi"/>
                <w:color w:val="000000" w:themeColor="text1"/>
                <w:sz w:val="20"/>
                <w:szCs w:val="20"/>
              </w:rPr>
              <w:tab/>
            </w:r>
          </w:p>
          <w:p w14:paraId="177264BC" w14:textId="77777777" w:rsidR="00E56317" w:rsidRPr="00841227" w:rsidRDefault="00E56317" w:rsidP="00346133">
            <w:pPr>
              <w:rPr>
                <w:rFonts w:cstheme="minorHAnsi"/>
                <w:color w:val="000000" w:themeColor="text1"/>
                <w:sz w:val="20"/>
                <w:szCs w:val="20"/>
              </w:rPr>
            </w:pPr>
            <w:r w:rsidRPr="00841227">
              <w:rPr>
                <w:rFonts w:cstheme="minorHAnsi"/>
                <w:color w:val="000000" w:themeColor="text1"/>
                <w:sz w:val="20"/>
                <w:szCs w:val="20"/>
              </w:rPr>
              <w:t xml:space="preserve">To lead the work of the project, a joint commission was created </w:t>
            </w:r>
            <w:r>
              <w:rPr>
                <w:rFonts w:cstheme="minorHAnsi"/>
                <w:color w:val="000000" w:themeColor="text1"/>
                <w:sz w:val="20"/>
                <w:szCs w:val="20"/>
              </w:rPr>
              <w:t xml:space="preserve">comprising </w:t>
            </w:r>
            <w:r w:rsidRPr="00841227">
              <w:rPr>
                <w:rFonts w:cstheme="minorHAnsi"/>
                <w:color w:val="000000" w:themeColor="text1"/>
                <w:sz w:val="20"/>
                <w:szCs w:val="20"/>
              </w:rPr>
              <w:t xml:space="preserve">National Office of Electricity (ONE) for Morocco and Red </w:t>
            </w:r>
            <w:proofErr w:type="spellStart"/>
            <w:r w:rsidRPr="00841227">
              <w:rPr>
                <w:rFonts w:cstheme="minorHAnsi"/>
                <w:color w:val="000000" w:themeColor="text1"/>
                <w:sz w:val="20"/>
                <w:szCs w:val="20"/>
              </w:rPr>
              <w:t>Eléctrica</w:t>
            </w:r>
            <w:proofErr w:type="spellEnd"/>
            <w:r w:rsidRPr="00841227">
              <w:rPr>
                <w:rFonts w:cstheme="minorHAnsi"/>
                <w:color w:val="000000" w:themeColor="text1"/>
                <w:sz w:val="20"/>
                <w:szCs w:val="20"/>
              </w:rPr>
              <w:t xml:space="preserve"> de </w:t>
            </w:r>
            <w:proofErr w:type="spellStart"/>
            <w:r w:rsidRPr="00841227">
              <w:rPr>
                <w:rFonts w:cstheme="minorHAnsi"/>
                <w:color w:val="000000" w:themeColor="text1"/>
                <w:sz w:val="20"/>
                <w:szCs w:val="20"/>
              </w:rPr>
              <w:t>España</w:t>
            </w:r>
            <w:proofErr w:type="spellEnd"/>
            <w:r w:rsidRPr="00841227">
              <w:rPr>
                <w:rFonts w:cstheme="minorHAnsi"/>
                <w:color w:val="000000" w:themeColor="text1"/>
                <w:sz w:val="20"/>
                <w:szCs w:val="20"/>
              </w:rPr>
              <w:t xml:space="preserve"> (REE) for Spain. Environmental impact assessments were undertaken in 2003, and the environmental consents for the project issued in 2005. Competent authorities for the review and approval of EIA studies were Moroccan National committee for environmental impact studies (CNEI) and Spanish Ministry of environment. The assessments were prepared based on the national EIA legislation whereas the World Bank, EIB and Africa Development Bank methodologies were also applied. </w:t>
            </w:r>
          </w:p>
          <w:p w14:paraId="1A8F4C6D" w14:textId="77777777" w:rsidR="00E56317" w:rsidRPr="00841227" w:rsidRDefault="00E56317" w:rsidP="00346133">
            <w:pPr>
              <w:rPr>
                <w:rFonts w:cstheme="minorHAnsi"/>
                <w:color w:val="000000" w:themeColor="text1"/>
                <w:sz w:val="20"/>
                <w:szCs w:val="20"/>
              </w:rPr>
            </w:pPr>
          </w:p>
          <w:p w14:paraId="6CB1012D" w14:textId="54CE5516" w:rsidR="00E56317" w:rsidRPr="00E56317" w:rsidRDefault="00E56317" w:rsidP="00346133">
            <w:pPr>
              <w:rPr>
                <w:rFonts w:cstheme="minorHAnsi"/>
                <w:color w:val="000000" w:themeColor="text1"/>
                <w:sz w:val="20"/>
                <w:szCs w:val="20"/>
              </w:rPr>
            </w:pPr>
            <w:r w:rsidRPr="00841227">
              <w:rPr>
                <w:rFonts w:cstheme="minorHAnsi"/>
                <w:color w:val="000000" w:themeColor="text1"/>
                <w:sz w:val="20"/>
                <w:szCs w:val="20"/>
              </w:rPr>
              <w:t xml:space="preserve">Environmental mitigation and compensatory measures were identified and implemented, including avoidance of the seagrass meadows of </w:t>
            </w:r>
            <w:proofErr w:type="spellStart"/>
            <w:r w:rsidRPr="00841227">
              <w:rPr>
                <w:rFonts w:cstheme="minorHAnsi"/>
                <w:color w:val="000000" w:themeColor="text1"/>
                <w:sz w:val="20"/>
                <w:szCs w:val="20"/>
              </w:rPr>
              <w:t>Cymodocea</w:t>
            </w:r>
            <w:proofErr w:type="spellEnd"/>
            <w:r w:rsidRPr="00841227">
              <w:rPr>
                <w:rFonts w:cstheme="minorHAnsi"/>
                <w:color w:val="000000" w:themeColor="text1"/>
                <w:sz w:val="20"/>
                <w:szCs w:val="20"/>
              </w:rPr>
              <w:t xml:space="preserve"> nodosa and a set of measures developed (responsibility of Red </w:t>
            </w:r>
            <w:proofErr w:type="spellStart"/>
            <w:r w:rsidRPr="00841227">
              <w:rPr>
                <w:rFonts w:cstheme="minorHAnsi"/>
                <w:color w:val="000000" w:themeColor="text1"/>
                <w:sz w:val="20"/>
                <w:szCs w:val="20"/>
              </w:rPr>
              <w:t>Eléctrica</w:t>
            </w:r>
            <w:proofErr w:type="spellEnd"/>
            <w:r w:rsidRPr="00841227">
              <w:rPr>
                <w:rFonts w:cstheme="minorHAnsi"/>
                <w:color w:val="000000" w:themeColor="text1"/>
                <w:sz w:val="20"/>
                <w:szCs w:val="20"/>
              </w:rPr>
              <w:t>) to compensate for the adverse impacts on affected Natura 2000 sites. In the framework of the EIA study in Morocco, environmental and social management plan was prepared to minimise/ mitigate impacts, including a set of compensatory measures.</w:t>
            </w:r>
          </w:p>
        </w:tc>
      </w:tr>
    </w:tbl>
    <w:p w14:paraId="68EC9757" w14:textId="0AA3020A" w:rsidR="00E56317" w:rsidRPr="00E56317" w:rsidRDefault="00E56317" w:rsidP="00E56317">
      <w:pPr>
        <w:spacing w:after="0" w:line="240" w:lineRule="auto"/>
        <w:sectPr w:rsidR="00E56317" w:rsidRPr="00E56317" w:rsidSect="00A61080">
          <w:footerReference w:type="default" r:id="rId10"/>
          <w:pgSz w:w="11906" w:h="16838"/>
          <w:pgMar w:top="1418" w:right="1418" w:bottom="1418" w:left="1418" w:header="709" w:footer="709" w:gutter="0"/>
          <w:cols w:space="708"/>
          <w:titlePg/>
          <w:docGrid w:linePitch="360"/>
        </w:sectPr>
      </w:pPr>
      <w:r w:rsidRPr="00841227">
        <w:rPr>
          <w:rFonts w:cstheme="minorHAnsi"/>
          <w:color w:val="000000" w:themeColor="text1"/>
          <w:sz w:val="20"/>
          <w:szCs w:val="20"/>
        </w:rPr>
        <w:t>Source: National Office of Electricity</w:t>
      </w:r>
      <w:r>
        <w:rPr>
          <w:rFonts w:cstheme="minorHAnsi"/>
          <w:color w:val="000000" w:themeColor="text1"/>
          <w:sz w:val="20"/>
          <w:szCs w:val="20"/>
        </w:rPr>
        <w:t xml:space="preserve"> of Morocco (2002), Environmental impact assessment study for strengthening the submarine electricity transmission line between Morocco and Spain through the Strait of Gibraltar; </w:t>
      </w:r>
      <w:r w:rsidRPr="00841227">
        <w:rPr>
          <w:rFonts w:cstheme="minorHAnsi"/>
          <w:color w:val="000000" w:themeColor="text1"/>
          <w:sz w:val="20"/>
          <w:szCs w:val="20"/>
        </w:rPr>
        <w:t xml:space="preserve">Red </w:t>
      </w:r>
      <w:proofErr w:type="spellStart"/>
      <w:r w:rsidRPr="00841227">
        <w:rPr>
          <w:rFonts w:cstheme="minorHAnsi"/>
          <w:color w:val="000000" w:themeColor="text1"/>
          <w:sz w:val="20"/>
          <w:szCs w:val="20"/>
        </w:rPr>
        <w:t>Eléctrica</w:t>
      </w:r>
      <w:proofErr w:type="spellEnd"/>
      <w:r w:rsidRPr="00841227">
        <w:rPr>
          <w:rFonts w:cstheme="minorHAnsi"/>
          <w:color w:val="000000" w:themeColor="text1"/>
          <w:sz w:val="20"/>
          <w:szCs w:val="20"/>
        </w:rPr>
        <w:t xml:space="preserve"> </w:t>
      </w:r>
      <w:r>
        <w:rPr>
          <w:rFonts w:cstheme="minorHAnsi"/>
          <w:color w:val="000000" w:themeColor="text1"/>
          <w:sz w:val="20"/>
          <w:szCs w:val="20"/>
        </w:rPr>
        <w:t>p</w:t>
      </w:r>
      <w:r w:rsidRPr="00841227">
        <w:rPr>
          <w:rFonts w:cstheme="minorHAnsi"/>
          <w:color w:val="000000" w:themeColor="text1"/>
          <w:sz w:val="20"/>
          <w:szCs w:val="20"/>
        </w:rPr>
        <w:t>roject related information</w:t>
      </w:r>
    </w:p>
    <w:p w14:paraId="5458A4B0" w14:textId="4386C1A0" w:rsidR="00483321" w:rsidRPr="006405C5" w:rsidRDefault="006405C5" w:rsidP="006405C5">
      <w:pPr>
        <w:pStyle w:val="Caption"/>
        <w:spacing w:after="0"/>
        <w:rPr>
          <w:color w:val="1F4E79" w:themeColor="accent1" w:themeShade="80"/>
          <w:sz w:val="20"/>
          <w:szCs w:val="20"/>
        </w:rPr>
      </w:pPr>
      <w:r w:rsidRPr="006405C5">
        <w:rPr>
          <w:color w:val="1F4E79" w:themeColor="accent1" w:themeShade="80"/>
          <w:sz w:val="20"/>
          <w:szCs w:val="20"/>
        </w:rPr>
        <w:lastRenderedPageBreak/>
        <w:t xml:space="preserve">Table </w:t>
      </w:r>
      <w:r w:rsidR="00215A3E">
        <w:rPr>
          <w:color w:val="1F4E79" w:themeColor="accent1" w:themeShade="80"/>
          <w:sz w:val="20"/>
          <w:szCs w:val="20"/>
        </w:rPr>
        <w:fldChar w:fldCharType="begin"/>
      </w:r>
      <w:r w:rsidR="00271DB4">
        <w:rPr>
          <w:color w:val="1F4E79" w:themeColor="accent1" w:themeShade="80"/>
          <w:sz w:val="20"/>
          <w:szCs w:val="20"/>
        </w:rPr>
        <w:instrText xml:space="preserve"> STYLEREF 1 \s </w:instrText>
      </w:r>
      <w:r w:rsidR="00215A3E">
        <w:rPr>
          <w:color w:val="1F4E79" w:themeColor="accent1" w:themeShade="80"/>
          <w:sz w:val="20"/>
          <w:szCs w:val="20"/>
        </w:rPr>
        <w:fldChar w:fldCharType="separate"/>
      </w:r>
      <w:r w:rsidR="005A000D">
        <w:rPr>
          <w:noProof/>
          <w:color w:val="1F4E79" w:themeColor="accent1" w:themeShade="80"/>
          <w:sz w:val="20"/>
          <w:szCs w:val="20"/>
        </w:rPr>
        <w:t>4</w:t>
      </w:r>
      <w:r w:rsidR="00215A3E">
        <w:rPr>
          <w:color w:val="1F4E79" w:themeColor="accent1" w:themeShade="80"/>
          <w:sz w:val="20"/>
          <w:szCs w:val="20"/>
        </w:rPr>
        <w:fldChar w:fldCharType="end"/>
      </w:r>
      <w:r w:rsidR="00271DB4">
        <w:rPr>
          <w:color w:val="1F4E79" w:themeColor="accent1" w:themeShade="80"/>
          <w:sz w:val="20"/>
          <w:szCs w:val="20"/>
        </w:rPr>
        <w:noBreakHyphen/>
      </w:r>
      <w:r w:rsidR="00215A3E">
        <w:rPr>
          <w:color w:val="1F4E79" w:themeColor="accent1" w:themeShade="80"/>
          <w:sz w:val="20"/>
          <w:szCs w:val="20"/>
        </w:rPr>
        <w:fldChar w:fldCharType="begin"/>
      </w:r>
      <w:r w:rsidR="00271DB4">
        <w:rPr>
          <w:color w:val="1F4E79" w:themeColor="accent1" w:themeShade="80"/>
          <w:sz w:val="20"/>
          <w:szCs w:val="20"/>
        </w:rPr>
        <w:instrText xml:space="preserve"> SEQ Table \* ARABIC \s 1 </w:instrText>
      </w:r>
      <w:r w:rsidR="00215A3E">
        <w:rPr>
          <w:color w:val="1F4E79" w:themeColor="accent1" w:themeShade="80"/>
          <w:sz w:val="20"/>
          <w:szCs w:val="20"/>
        </w:rPr>
        <w:fldChar w:fldCharType="separate"/>
      </w:r>
      <w:r w:rsidR="005A000D">
        <w:rPr>
          <w:noProof/>
          <w:color w:val="1F4E79" w:themeColor="accent1" w:themeShade="80"/>
          <w:sz w:val="20"/>
          <w:szCs w:val="20"/>
        </w:rPr>
        <w:t>1</w:t>
      </w:r>
      <w:r w:rsidR="00215A3E">
        <w:rPr>
          <w:color w:val="1F4E79" w:themeColor="accent1" w:themeShade="80"/>
          <w:sz w:val="20"/>
          <w:szCs w:val="20"/>
        </w:rPr>
        <w:fldChar w:fldCharType="end"/>
      </w:r>
      <w:r w:rsidRPr="006405C5">
        <w:rPr>
          <w:color w:val="1F4E79" w:themeColor="accent1" w:themeShade="80"/>
          <w:sz w:val="20"/>
          <w:szCs w:val="20"/>
        </w:rPr>
        <w:t xml:space="preserve">: </w:t>
      </w:r>
      <w:r w:rsidR="00483321" w:rsidRPr="006405C5">
        <w:rPr>
          <w:color w:val="1F4E79" w:themeColor="accent1" w:themeShade="80"/>
          <w:sz w:val="20"/>
          <w:szCs w:val="20"/>
        </w:rPr>
        <w:t xml:space="preserve">International instruments and national legislation governing implementation of environmental assessments in the Mediterranean </w:t>
      </w:r>
    </w:p>
    <w:tbl>
      <w:tblPr>
        <w:tblStyle w:val="TableGrid"/>
        <w:tblW w:w="13309" w:type="dxa"/>
        <w:tblInd w:w="-5" w:type="dxa"/>
        <w:tblLook w:val="04A0" w:firstRow="1" w:lastRow="0" w:firstColumn="1" w:lastColumn="0" w:noHBand="0" w:noVBand="1"/>
      </w:tblPr>
      <w:tblGrid>
        <w:gridCol w:w="1247"/>
        <w:gridCol w:w="1444"/>
        <w:gridCol w:w="1173"/>
        <w:gridCol w:w="1211"/>
        <w:gridCol w:w="8234"/>
      </w:tblGrid>
      <w:tr w:rsidR="00483321" w:rsidRPr="00615099" w14:paraId="5D791F56" w14:textId="77777777" w:rsidTr="00A6304C">
        <w:tc>
          <w:tcPr>
            <w:tcW w:w="1247" w:type="dxa"/>
            <w:vMerge w:val="restart"/>
            <w:shd w:val="clear" w:color="auto" w:fill="9CC2E5" w:themeFill="accent1" w:themeFillTint="99"/>
          </w:tcPr>
          <w:p w14:paraId="67B2E48D" w14:textId="77777777" w:rsidR="00483321" w:rsidRPr="00615099" w:rsidRDefault="00483321" w:rsidP="00A6304C">
            <w:pPr>
              <w:pStyle w:val="ListParagraph"/>
              <w:ind w:left="0"/>
              <w:rPr>
                <w:b/>
                <w:sz w:val="20"/>
                <w:szCs w:val="20"/>
              </w:rPr>
            </w:pPr>
            <w:r w:rsidRPr="00615099">
              <w:rPr>
                <w:b/>
                <w:sz w:val="20"/>
                <w:szCs w:val="20"/>
              </w:rPr>
              <w:t xml:space="preserve">BC </w:t>
            </w:r>
            <w:r>
              <w:rPr>
                <w:b/>
                <w:sz w:val="20"/>
                <w:szCs w:val="20"/>
              </w:rPr>
              <w:t xml:space="preserve">Contracting </w:t>
            </w:r>
            <w:r w:rsidRPr="00615099">
              <w:rPr>
                <w:b/>
                <w:sz w:val="20"/>
                <w:szCs w:val="20"/>
              </w:rPr>
              <w:t>Parties</w:t>
            </w:r>
          </w:p>
        </w:tc>
        <w:tc>
          <w:tcPr>
            <w:tcW w:w="1444" w:type="dxa"/>
            <w:vMerge w:val="restart"/>
            <w:shd w:val="clear" w:color="auto" w:fill="9CC2E5" w:themeFill="accent1" w:themeFillTint="99"/>
          </w:tcPr>
          <w:p w14:paraId="54F6F5A6" w14:textId="77777777" w:rsidR="00483321" w:rsidRPr="00615099" w:rsidRDefault="00483321" w:rsidP="00A6304C">
            <w:pPr>
              <w:pStyle w:val="ListParagraph"/>
              <w:ind w:left="0"/>
              <w:rPr>
                <w:b/>
                <w:sz w:val="20"/>
                <w:szCs w:val="20"/>
              </w:rPr>
            </w:pPr>
            <w:r w:rsidRPr="00615099">
              <w:rPr>
                <w:b/>
                <w:sz w:val="20"/>
                <w:szCs w:val="20"/>
              </w:rPr>
              <w:t>ICZM Proto</w:t>
            </w:r>
            <w:r>
              <w:rPr>
                <w:b/>
                <w:sz w:val="20"/>
                <w:szCs w:val="20"/>
              </w:rPr>
              <w:t>col (status of ratification)</w:t>
            </w:r>
          </w:p>
        </w:tc>
        <w:tc>
          <w:tcPr>
            <w:tcW w:w="2384" w:type="dxa"/>
            <w:gridSpan w:val="2"/>
            <w:shd w:val="clear" w:color="auto" w:fill="9CC2E5" w:themeFill="accent1" w:themeFillTint="99"/>
          </w:tcPr>
          <w:p w14:paraId="213AC7E2" w14:textId="77777777" w:rsidR="00483321" w:rsidRPr="00615099" w:rsidRDefault="00483321" w:rsidP="00A6304C">
            <w:pPr>
              <w:pStyle w:val="ListParagraph"/>
              <w:ind w:left="0"/>
              <w:jc w:val="center"/>
              <w:rPr>
                <w:b/>
                <w:sz w:val="20"/>
                <w:szCs w:val="20"/>
              </w:rPr>
            </w:pPr>
            <w:r>
              <w:rPr>
                <w:b/>
                <w:sz w:val="20"/>
                <w:szCs w:val="20"/>
              </w:rPr>
              <w:t>UNECE instruments</w:t>
            </w:r>
          </w:p>
        </w:tc>
        <w:tc>
          <w:tcPr>
            <w:tcW w:w="8234" w:type="dxa"/>
            <w:shd w:val="clear" w:color="auto" w:fill="9CC2E5" w:themeFill="accent1" w:themeFillTint="99"/>
          </w:tcPr>
          <w:p w14:paraId="6712F620" w14:textId="77777777" w:rsidR="00483321" w:rsidRPr="00615099" w:rsidRDefault="00483321" w:rsidP="00A6304C">
            <w:pPr>
              <w:pStyle w:val="ListParagraph"/>
              <w:ind w:left="0"/>
              <w:jc w:val="center"/>
              <w:rPr>
                <w:b/>
                <w:sz w:val="20"/>
                <w:szCs w:val="20"/>
              </w:rPr>
            </w:pPr>
            <w:r>
              <w:rPr>
                <w:b/>
                <w:sz w:val="20"/>
                <w:szCs w:val="20"/>
              </w:rPr>
              <w:t>N</w:t>
            </w:r>
            <w:r w:rsidRPr="00615099">
              <w:rPr>
                <w:b/>
                <w:sz w:val="20"/>
                <w:szCs w:val="20"/>
              </w:rPr>
              <w:t xml:space="preserve">ational </w:t>
            </w:r>
            <w:r>
              <w:rPr>
                <w:b/>
                <w:sz w:val="20"/>
                <w:szCs w:val="20"/>
              </w:rPr>
              <w:t xml:space="preserve">regulations on environmental assessments </w:t>
            </w:r>
          </w:p>
        </w:tc>
      </w:tr>
      <w:tr w:rsidR="00483321" w:rsidRPr="00615099" w14:paraId="1A722833" w14:textId="77777777" w:rsidTr="00A6304C">
        <w:tc>
          <w:tcPr>
            <w:tcW w:w="1247" w:type="dxa"/>
            <w:vMerge/>
            <w:shd w:val="clear" w:color="auto" w:fill="9CC2E5" w:themeFill="accent1" w:themeFillTint="99"/>
          </w:tcPr>
          <w:p w14:paraId="0AB40DCC" w14:textId="77777777" w:rsidR="00483321" w:rsidRPr="00615099" w:rsidRDefault="00483321" w:rsidP="00A6304C">
            <w:pPr>
              <w:pStyle w:val="ListParagraph"/>
              <w:ind w:left="0"/>
              <w:rPr>
                <w:b/>
                <w:sz w:val="20"/>
                <w:szCs w:val="20"/>
              </w:rPr>
            </w:pPr>
          </w:p>
        </w:tc>
        <w:tc>
          <w:tcPr>
            <w:tcW w:w="1444" w:type="dxa"/>
            <w:vMerge/>
            <w:shd w:val="clear" w:color="auto" w:fill="9CC2E5" w:themeFill="accent1" w:themeFillTint="99"/>
          </w:tcPr>
          <w:p w14:paraId="3881FFA3" w14:textId="77777777" w:rsidR="00483321" w:rsidRPr="00615099" w:rsidRDefault="00483321" w:rsidP="00A6304C">
            <w:pPr>
              <w:pStyle w:val="ListParagraph"/>
              <w:ind w:left="0"/>
              <w:rPr>
                <w:b/>
                <w:sz w:val="20"/>
                <w:szCs w:val="20"/>
              </w:rPr>
            </w:pPr>
          </w:p>
        </w:tc>
        <w:tc>
          <w:tcPr>
            <w:tcW w:w="1173" w:type="dxa"/>
            <w:shd w:val="clear" w:color="auto" w:fill="9CC2E5" w:themeFill="accent1" w:themeFillTint="99"/>
          </w:tcPr>
          <w:p w14:paraId="6E38D05A" w14:textId="77777777" w:rsidR="00483321" w:rsidRPr="00615099" w:rsidRDefault="00483321" w:rsidP="00A6304C">
            <w:pPr>
              <w:pStyle w:val="ListParagraph"/>
              <w:ind w:left="0"/>
              <w:rPr>
                <w:b/>
                <w:sz w:val="20"/>
                <w:szCs w:val="20"/>
              </w:rPr>
            </w:pPr>
            <w:r w:rsidRPr="00615099">
              <w:rPr>
                <w:b/>
                <w:sz w:val="20"/>
                <w:szCs w:val="20"/>
              </w:rPr>
              <w:t>Espoo Convention</w:t>
            </w:r>
          </w:p>
        </w:tc>
        <w:tc>
          <w:tcPr>
            <w:tcW w:w="1211" w:type="dxa"/>
            <w:shd w:val="clear" w:color="auto" w:fill="9CC2E5" w:themeFill="accent1" w:themeFillTint="99"/>
          </w:tcPr>
          <w:p w14:paraId="149DF91F" w14:textId="77777777" w:rsidR="00483321" w:rsidRPr="00615099" w:rsidRDefault="00483321" w:rsidP="00A6304C">
            <w:pPr>
              <w:pStyle w:val="ListParagraph"/>
              <w:ind w:left="0"/>
              <w:rPr>
                <w:b/>
                <w:sz w:val="20"/>
                <w:szCs w:val="20"/>
              </w:rPr>
            </w:pPr>
            <w:r w:rsidRPr="00615099">
              <w:rPr>
                <w:b/>
                <w:sz w:val="20"/>
                <w:szCs w:val="20"/>
              </w:rPr>
              <w:t xml:space="preserve">Kiev Protocol </w:t>
            </w:r>
          </w:p>
        </w:tc>
        <w:tc>
          <w:tcPr>
            <w:tcW w:w="8234" w:type="dxa"/>
            <w:shd w:val="clear" w:color="auto" w:fill="9CC2E5" w:themeFill="accent1" w:themeFillTint="99"/>
          </w:tcPr>
          <w:p w14:paraId="0B6AC772" w14:textId="77777777" w:rsidR="00483321" w:rsidRPr="00615099" w:rsidRDefault="00483321" w:rsidP="00A6304C">
            <w:pPr>
              <w:pStyle w:val="ListParagraph"/>
              <w:ind w:left="0"/>
              <w:jc w:val="center"/>
              <w:rPr>
                <w:b/>
                <w:sz w:val="20"/>
                <w:szCs w:val="20"/>
              </w:rPr>
            </w:pPr>
            <w:r>
              <w:rPr>
                <w:b/>
                <w:sz w:val="20"/>
                <w:szCs w:val="20"/>
              </w:rPr>
              <w:t xml:space="preserve">Applicable </w:t>
            </w:r>
            <w:r w:rsidRPr="00615099">
              <w:rPr>
                <w:b/>
                <w:sz w:val="20"/>
                <w:szCs w:val="20"/>
              </w:rPr>
              <w:t>EU/ national laws</w:t>
            </w:r>
          </w:p>
        </w:tc>
      </w:tr>
      <w:tr w:rsidR="00483321" w:rsidRPr="00615099" w14:paraId="418BA372" w14:textId="77777777" w:rsidTr="00A6304C">
        <w:tc>
          <w:tcPr>
            <w:tcW w:w="1247" w:type="dxa"/>
            <w:vAlign w:val="center"/>
          </w:tcPr>
          <w:p w14:paraId="287CE074" w14:textId="77777777" w:rsidR="00483321" w:rsidRPr="002E02A3" w:rsidRDefault="00483321" w:rsidP="00A6304C">
            <w:pPr>
              <w:rPr>
                <w:rFonts w:cstheme="minorHAnsi"/>
                <w:color w:val="000000" w:themeColor="text1"/>
                <w:sz w:val="20"/>
                <w:szCs w:val="20"/>
              </w:rPr>
            </w:pPr>
            <w:r w:rsidRPr="002E02A3">
              <w:rPr>
                <w:rFonts w:eastAsia="Times New Roman" w:cstheme="minorHAnsi"/>
                <w:color w:val="000000" w:themeColor="text1"/>
                <w:sz w:val="20"/>
                <w:szCs w:val="20"/>
              </w:rPr>
              <w:t>Albania</w:t>
            </w:r>
          </w:p>
        </w:tc>
        <w:tc>
          <w:tcPr>
            <w:tcW w:w="1444" w:type="dxa"/>
            <w:vAlign w:val="center"/>
          </w:tcPr>
          <w:p w14:paraId="59BB9742" w14:textId="77777777" w:rsidR="00483321" w:rsidRPr="00615099" w:rsidRDefault="00483321" w:rsidP="00A6304C">
            <w:pPr>
              <w:jc w:val="center"/>
              <w:rPr>
                <w:rFonts w:eastAsia="Times New Roman" w:cstheme="minorHAnsi"/>
                <w:sz w:val="20"/>
                <w:szCs w:val="20"/>
              </w:rPr>
            </w:pPr>
            <w:r w:rsidRPr="00615099">
              <w:rPr>
                <w:rFonts w:eastAsia="Times New Roman" w:cstheme="minorHAnsi"/>
                <w:sz w:val="20"/>
                <w:szCs w:val="20"/>
              </w:rPr>
              <w:t>04.05.2010/AD</w:t>
            </w:r>
          </w:p>
        </w:tc>
        <w:tc>
          <w:tcPr>
            <w:tcW w:w="1173" w:type="dxa"/>
            <w:vAlign w:val="center"/>
          </w:tcPr>
          <w:p w14:paraId="0CA6A602" w14:textId="77777777" w:rsidR="00483321" w:rsidRPr="00615099" w:rsidRDefault="00483321" w:rsidP="00A6304C">
            <w:pPr>
              <w:pStyle w:val="ListParagraph"/>
              <w:ind w:left="0"/>
              <w:jc w:val="center"/>
              <w:rPr>
                <w:rFonts w:cstheme="minorHAnsi"/>
                <w:sz w:val="20"/>
                <w:szCs w:val="20"/>
              </w:rPr>
            </w:pPr>
            <w:r w:rsidRPr="00615099">
              <w:rPr>
                <w:rFonts w:cstheme="minorHAnsi"/>
                <w:sz w:val="20"/>
                <w:szCs w:val="20"/>
              </w:rPr>
              <w:t>+</w:t>
            </w:r>
          </w:p>
        </w:tc>
        <w:tc>
          <w:tcPr>
            <w:tcW w:w="1211" w:type="dxa"/>
            <w:vAlign w:val="center"/>
          </w:tcPr>
          <w:p w14:paraId="703B44D5" w14:textId="77777777" w:rsidR="00483321" w:rsidRPr="00615099" w:rsidRDefault="00483321" w:rsidP="00A6304C">
            <w:pPr>
              <w:pStyle w:val="ListParagraph"/>
              <w:ind w:left="0"/>
              <w:jc w:val="center"/>
              <w:rPr>
                <w:rFonts w:cstheme="minorHAnsi"/>
                <w:sz w:val="20"/>
                <w:szCs w:val="20"/>
              </w:rPr>
            </w:pPr>
            <w:r w:rsidRPr="00615099">
              <w:rPr>
                <w:rFonts w:cstheme="minorHAnsi"/>
                <w:sz w:val="20"/>
                <w:szCs w:val="20"/>
              </w:rPr>
              <w:t>+</w:t>
            </w:r>
          </w:p>
        </w:tc>
        <w:tc>
          <w:tcPr>
            <w:tcW w:w="8234" w:type="dxa"/>
          </w:tcPr>
          <w:p w14:paraId="2CCCA2BB" w14:textId="77777777" w:rsidR="00483321" w:rsidRPr="00615099" w:rsidRDefault="00483321" w:rsidP="00A6304C">
            <w:pPr>
              <w:pStyle w:val="ListParagraph"/>
              <w:ind w:left="0"/>
              <w:rPr>
                <w:rFonts w:cstheme="minorHAnsi"/>
                <w:sz w:val="20"/>
                <w:szCs w:val="20"/>
              </w:rPr>
            </w:pPr>
            <w:r>
              <w:rPr>
                <w:rFonts w:cstheme="minorHAnsi"/>
                <w:sz w:val="20"/>
                <w:szCs w:val="20"/>
              </w:rPr>
              <w:t>Law 12/2015 from 2015 amending the EIA Law 10 440 from 2011; SEA Law 91/2013 from 2013</w:t>
            </w:r>
          </w:p>
        </w:tc>
      </w:tr>
      <w:tr w:rsidR="00483321" w:rsidRPr="00615099" w14:paraId="6BAE7730" w14:textId="77777777" w:rsidTr="00A6304C">
        <w:tc>
          <w:tcPr>
            <w:tcW w:w="1247" w:type="dxa"/>
            <w:vAlign w:val="center"/>
          </w:tcPr>
          <w:p w14:paraId="250A1925" w14:textId="77777777" w:rsidR="00483321" w:rsidRPr="002E02A3" w:rsidRDefault="00483321" w:rsidP="00A6304C">
            <w:pPr>
              <w:rPr>
                <w:rFonts w:cstheme="minorHAnsi"/>
                <w:color w:val="000000" w:themeColor="text1"/>
                <w:sz w:val="20"/>
                <w:szCs w:val="20"/>
              </w:rPr>
            </w:pPr>
            <w:r w:rsidRPr="002E02A3">
              <w:rPr>
                <w:rFonts w:eastAsia="Times New Roman" w:cstheme="minorHAnsi"/>
                <w:color w:val="000000" w:themeColor="text1"/>
                <w:sz w:val="20"/>
                <w:szCs w:val="20"/>
              </w:rPr>
              <w:t>Algeria</w:t>
            </w:r>
          </w:p>
        </w:tc>
        <w:tc>
          <w:tcPr>
            <w:tcW w:w="1444" w:type="dxa"/>
            <w:vAlign w:val="center"/>
          </w:tcPr>
          <w:p w14:paraId="0F7353EC" w14:textId="77777777" w:rsidR="00483321" w:rsidRPr="00615099" w:rsidRDefault="00483321" w:rsidP="00A6304C">
            <w:pPr>
              <w:jc w:val="center"/>
              <w:rPr>
                <w:rFonts w:eastAsia="Times New Roman" w:cstheme="minorHAnsi"/>
                <w:sz w:val="20"/>
                <w:szCs w:val="20"/>
              </w:rPr>
            </w:pPr>
            <w:r w:rsidRPr="00615099">
              <w:rPr>
                <w:rFonts w:eastAsia="Times New Roman" w:cstheme="minorHAnsi"/>
                <w:sz w:val="20"/>
                <w:szCs w:val="20"/>
              </w:rPr>
              <w:t>-</w:t>
            </w:r>
          </w:p>
        </w:tc>
        <w:tc>
          <w:tcPr>
            <w:tcW w:w="2384" w:type="dxa"/>
            <w:gridSpan w:val="2"/>
            <w:vAlign w:val="center"/>
          </w:tcPr>
          <w:p w14:paraId="5667300B" w14:textId="77777777" w:rsidR="00483321" w:rsidRPr="00615099" w:rsidRDefault="00483321" w:rsidP="00A6304C">
            <w:pPr>
              <w:pStyle w:val="ListParagraph"/>
              <w:ind w:left="0"/>
              <w:rPr>
                <w:rFonts w:cstheme="minorHAnsi"/>
                <w:sz w:val="20"/>
                <w:szCs w:val="20"/>
              </w:rPr>
            </w:pPr>
            <w:r>
              <w:rPr>
                <w:rFonts w:cstheme="minorHAnsi"/>
                <w:sz w:val="20"/>
                <w:szCs w:val="20"/>
              </w:rPr>
              <w:t>Not a member of UNECE</w:t>
            </w:r>
          </w:p>
        </w:tc>
        <w:tc>
          <w:tcPr>
            <w:tcW w:w="8234" w:type="dxa"/>
          </w:tcPr>
          <w:p w14:paraId="4FAAEF63" w14:textId="77777777" w:rsidR="00483321" w:rsidRPr="00A16F79" w:rsidRDefault="00483321" w:rsidP="00A6304C">
            <w:pPr>
              <w:pStyle w:val="ListParagraph"/>
              <w:ind w:left="0"/>
              <w:rPr>
                <w:rFonts w:cstheme="minorHAnsi"/>
                <w:sz w:val="20"/>
                <w:szCs w:val="20"/>
              </w:rPr>
            </w:pPr>
            <w:r w:rsidRPr="00A16F79">
              <w:rPr>
                <w:rFonts w:cstheme="minorHAnsi"/>
                <w:sz w:val="20"/>
                <w:szCs w:val="20"/>
              </w:rPr>
              <w:t xml:space="preserve">Law </w:t>
            </w:r>
            <w:r w:rsidRPr="00A16F79">
              <w:rPr>
                <w:sz w:val="20"/>
                <w:szCs w:val="20"/>
              </w:rPr>
              <w:t>03-10 and Executive Decree 18-255 from 2018 amending the EIA Executive Decree 07-145 from 2007</w:t>
            </w:r>
            <w:r>
              <w:rPr>
                <w:sz w:val="20"/>
                <w:szCs w:val="20"/>
              </w:rPr>
              <w:t xml:space="preserve">; no SEA legislation </w:t>
            </w:r>
          </w:p>
        </w:tc>
      </w:tr>
      <w:tr w:rsidR="00483321" w:rsidRPr="00615099" w14:paraId="183BADCB" w14:textId="77777777" w:rsidTr="00A6304C">
        <w:tc>
          <w:tcPr>
            <w:tcW w:w="1247" w:type="dxa"/>
            <w:vAlign w:val="center"/>
          </w:tcPr>
          <w:p w14:paraId="1F1F5E8E" w14:textId="77777777" w:rsidR="00483321" w:rsidRPr="002E02A3" w:rsidRDefault="00483321" w:rsidP="00A6304C">
            <w:pPr>
              <w:rPr>
                <w:rFonts w:cstheme="minorHAnsi"/>
                <w:color w:val="000000" w:themeColor="text1"/>
                <w:sz w:val="20"/>
                <w:szCs w:val="20"/>
              </w:rPr>
            </w:pPr>
            <w:r w:rsidRPr="002E02A3">
              <w:rPr>
                <w:rFonts w:eastAsia="Times New Roman" w:cstheme="minorHAnsi"/>
                <w:color w:val="000000" w:themeColor="text1"/>
                <w:sz w:val="20"/>
                <w:szCs w:val="20"/>
              </w:rPr>
              <w:t>Bosnia and Herzegovina</w:t>
            </w:r>
          </w:p>
        </w:tc>
        <w:tc>
          <w:tcPr>
            <w:tcW w:w="1444" w:type="dxa"/>
            <w:vAlign w:val="center"/>
          </w:tcPr>
          <w:p w14:paraId="117B39A4" w14:textId="77777777" w:rsidR="00483321" w:rsidRPr="00615099" w:rsidRDefault="00483321" w:rsidP="00A6304C">
            <w:pPr>
              <w:jc w:val="center"/>
              <w:rPr>
                <w:rFonts w:eastAsia="Times New Roman" w:cstheme="minorHAnsi"/>
                <w:sz w:val="20"/>
                <w:szCs w:val="20"/>
              </w:rPr>
            </w:pPr>
            <w:r w:rsidRPr="00615099">
              <w:rPr>
                <w:rFonts w:eastAsia="Times New Roman" w:cstheme="minorHAnsi"/>
                <w:sz w:val="20"/>
                <w:szCs w:val="20"/>
              </w:rPr>
              <w:t>-</w:t>
            </w:r>
          </w:p>
        </w:tc>
        <w:tc>
          <w:tcPr>
            <w:tcW w:w="1173" w:type="dxa"/>
            <w:vAlign w:val="center"/>
          </w:tcPr>
          <w:p w14:paraId="3F5F0A11" w14:textId="77777777" w:rsidR="00483321" w:rsidRPr="00615099" w:rsidRDefault="00483321" w:rsidP="00A6304C">
            <w:pPr>
              <w:pStyle w:val="ListParagraph"/>
              <w:ind w:left="0"/>
              <w:jc w:val="center"/>
              <w:rPr>
                <w:rFonts w:cstheme="minorHAnsi"/>
                <w:sz w:val="20"/>
                <w:szCs w:val="20"/>
              </w:rPr>
            </w:pPr>
            <w:r w:rsidRPr="00615099">
              <w:rPr>
                <w:rFonts w:cstheme="minorHAnsi"/>
                <w:sz w:val="20"/>
                <w:szCs w:val="20"/>
              </w:rPr>
              <w:t>+</w:t>
            </w:r>
          </w:p>
        </w:tc>
        <w:tc>
          <w:tcPr>
            <w:tcW w:w="1211" w:type="dxa"/>
            <w:vAlign w:val="center"/>
          </w:tcPr>
          <w:p w14:paraId="3C11FE93" w14:textId="77777777" w:rsidR="00483321" w:rsidRPr="00615099" w:rsidRDefault="00483321" w:rsidP="00A6304C">
            <w:pPr>
              <w:pStyle w:val="ListParagraph"/>
              <w:ind w:left="0"/>
              <w:jc w:val="center"/>
              <w:rPr>
                <w:rFonts w:cstheme="minorHAnsi"/>
                <w:sz w:val="20"/>
                <w:szCs w:val="20"/>
              </w:rPr>
            </w:pPr>
            <w:r w:rsidRPr="00615099">
              <w:rPr>
                <w:rFonts w:cstheme="minorHAnsi"/>
                <w:sz w:val="20"/>
                <w:szCs w:val="20"/>
              </w:rPr>
              <w:t>+</w:t>
            </w:r>
          </w:p>
        </w:tc>
        <w:tc>
          <w:tcPr>
            <w:tcW w:w="8234" w:type="dxa"/>
          </w:tcPr>
          <w:p w14:paraId="1960236C" w14:textId="77777777" w:rsidR="00483321" w:rsidRPr="00615099" w:rsidRDefault="00483321" w:rsidP="00A6304C">
            <w:pPr>
              <w:pStyle w:val="ListParagraph"/>
              <w:ind w:left="0"/>
              <w:rPr>
                <w:rFonts w:cstheme="minorHAnsi"/>
                <w:sz w:val="20"/>
                <w:szCs w:val="20"/>
              </w:rPr>
            </w:pPr>
            <w:r>
              <w:rPr>
                <w:rFonts w:cstheme="minorHAnsi"/>
                <w:sz w:val="20"/>
                <w:szCs w:val="20"/>
              </w:rPr>
              <w:t xml:space="preserve">Specific chapters on EIA in the </w:t>
            </w:r>
            <w:r w:rsidRPr="009865CE">
              <w:rPr>
                <w:rFonts w:cstheme="minorHAnsi"/>
                <w:sz w:val="20"/>
                <w:szCs w:val="20"/>
              </w:rPr>
              <w:t xml:space="preserve">F B&amp;H </w:t>
            </w:r>
            <w:r>
              <w:rPr>
                <w:rFonts w:cstheme="minorHAnsi"/>
                <w:sz w:val="20"/>
                <w:szCs w:val="20"/>
              </w:rPr>
              <w:t xml:space="preserve">Law </w:t>
            </w:r>
            <w:r w:rsidRPr="009865CE">
              <w:rPr>
                <w:rFonts w:cstheme="minorHAnsi"/>
                <w:sz w:val="20"/>
                <w:szCs w:val="20"/>
              </w:rPr>
              <w:t>33/03, 38/09</w:t>
            </w:r>
            <w:r>
              <w:rPr>
                <w:rFonts w:cstheme="minorHAnsi"/>
                <w:sz w:val="20"/>
                <w:szCs w:val="20"/>
              </w:rPr>
              <w:t xml:space="preserve"> and RS Law </w:t>
            </w:r>
            <w:r w:rsidRPr="009865CE">
              <w:rPr>
                <w:rFonts w:cstheme="minorHAnsi"/>
                <w:sz w:val="20"/>
                <w:szCs w:val="20"/>
              </w:rPr>
              <w:t>71/12</w:t>
            </w:r>
            <w:r>
              <w:rPr>
                <w:rFonts w:cstheme="minorHAnsi"/>
                <w:sz w:val="20"/>
                <w:szCs w:val="20"/>
              </w:rPr>
              <w:t xml:space="preserve">,79/15; general provisions on SEA in the </w:t>
            </w:r>
            <w:r w:rsidRPr="009865CE">
              <w:rPr>
                <w:rFonts w:cstheme="minorHAnsi"/>
                <w:sz w:val="20"/>
                <w:szCs w:val="20"/>
              </w:rPr>
              <w:t>F B&amp;H</w:t>
            </w:r>
            <w:r>
              <w:rPr>
                <w:rFonts w:cstheme="minorHAnsi"/>
                <w:sz w:val="20"/>
                <w:szCs w:val="20"/>
              </w:rPr>
              <w:t xml:space="preserve"> Law </w:t>
            </w:r>
            <w:r w:rsidRPr="009865CE">
              <w:rPr>
                <w:rFonts w:cstheme="minorHAnsi"/>
                <w:sz w:val="20"/>
                <w:szCs w:val="20"/>
              </w:rPr>
              <w:t>33/03, 38/09</w:t>
            </w:r>
            <w:r>
              <w:rPr>
                <w:rFonts w:cstheme="minorHAnsi"/>
                <w:sz w:val="20"/>
                <w:szCs w:val="20"/>
              </w:rPr>
              <w:t xml:space="preserve">, specific SEA chapter in the RS Law </w:t>
            </w:r>
            <w:r w:rsidRPr="009865CE">
              <w:rPr>
                <w:rFonts w:cstheme="minorHAnsi"/>
                <w:sz w:val="20"/>
                <w:szCs w:val="20"/>
              </w:rPr>
              <w:t>71/12</w:t>
            </w:r>
            <w:r>
              <w:rPr>
                <w:rFonts w:cstheme="minorHAnsi"/>
                <w:sz w:val="20"/>
                <w:szCs w:val="20"/>
              </w:rPr>
              <w:t>,79/15</w:t>
            </w:r>
          </w:p>
        </w:tc>
      </w:tr>
      <w:tr w:rsidR="00483321" w:rsidRPr="00615099" w14:paraId="33D01490" w14:textId="77777777" w:rsidTr="00A6304C">
        <w:tc>
          <w:tcPr>
            <w:tcW w:w="1247" w:type="dxa"/>
            <w:vAlign w:val="center"/>
          </w:tcPr>
          <w:p w14:paraId="44870A21" w14:textId="77777777" w:rsidR="00483321" w:rsidRPr="002E02A3" w:rsidRDefault="00483321" w:rsidP="00A6304C">
            <w:pPr>
              <w:rPr>
                <w:rFonts w:cstheme="minorHAnsi"/>
                <w:color w:val="000000" w:themeColor="text1"/>
                <w:sz w:val="20"/>
                <w:szCs w:val="20"/>
              </w:rPr>
            </w:pPr>
            <w:r w:rsidRPr="002E02A3">
              <w:rPr>
                <w:rFonts w:eastAsia="Times New Roman" w:cstheme="minorHAnsi"/>
                <w:color w:val="000000" w:themeColor="text1"/>
                <w:sz w:val="20"/>
                <w:szCs w:val="20"/>
              </w:rPr>
              <w:t>Croatia</w:t>
            </w:r>
          </w:p>
        </w:tc>
        <w:tc>
          <w:tcPr>
            <w:tcW w:w="1444" w:type="dxa"/>
            <w:vAlign w:val="center"/>
          </w:tcPr>
          <w:p w14:paraId="0B9C7579" w14:textId="77777777" w:rsidR="00483321" w:rsidRPr="00615099" w:rsidRDefault="00483321" w:rsidP="00A6304C">
            <w:pPr>
              <w:jc w:val="center"/>
              <w:rPr>
                <w:rFonts w:eastAsia="Times New Roman" w:cstheme="minorHAnsi"/>
                <w:sz w:val="20"/>
                <w:szCs w:val="20"/>
              </w:rPr>
            </w:pPr>
            <w:r w:rsidRPr="00615099">
              <w:rPr>
                <w:rFonts w:eastAsia="Times New Roman" w:cstheme="minorHAnsi"/>
                <w:sz w:val="20"/>
                <w:szCs w:val="20"/>
              </w:rPr>
              <w:t>29.01.13/R</w:t>
            </w:r>
          </w:p>
        </w:tc>
        <w:tc>
          <w:tcPr>
            <w:tcW w:w="1173" w:type="dxa"/>
            <w:vAlign w:val="center"/>
          </w:tcPr>
          <w:p w14:paraId="0C536280" w14:textId="77777777" w:rsidR="00483321" w:rsidRPr="00615099" w:rsidRDefault="00483321" w:rsidP="00A6304C">
            <w:pPr>
              <w:pStyle w:val="ListParagraph"/>
              <w:ind w:left="0"/>
              <w:jc w:val="center"/>
              <w:rPr>
                <w:rFonts w:cstheme="minorHAnsi"/>
                <w:sz w:val="20"/>
                <w:szCs w:val="20"/>
              </w:rPr>
            </w:pPr>
            <w:r w:rsidRPr="00615099">
              <w:rPr>
                <w:rFonts w:cstheme="minorHAnsi"/>
                <w:sz w:val="20"/>
                <w:szCs w:val="20"/>
              </w:rPr>
              <w:t>+</w:t>
            </w:r>
          </w:p>
        </w:tc>
        <w:tc>
          <w:tcPr>
            <w:tcW w:w="1211" w:type="dxa"/>
            <w:vAlign w:val="center"/>
          </w:tcPr>
          <w:p w14:paraId="75F67D2C" w14:textId="77777777" w:rsidR="00483321" w:rsidRPr="00615099" w:rsidRDefault="00483321" w:rsidP="00A6304C">
            <w:pPr>
              <w:pStyle w:val="ListParagraph"/>
              <w:ind w:left="0"/>
              <w:jc w:val="center"/>
              <w:rPr>
                <w:rFonts w:cstheme="minorHAnsi"/>
                <w:sz w:val="20"/>
                <w:szCs w:val="20"/>
              </w:rPr>
            </w:pPr>
            <w:r w:rsidRPr="00615099">
              <w:rPr>
                <w:rFonts w:cstheme="minorHAnsi"/>
                <w:sz w:val="20"/>
                <w:szCs w:val="20"/>
              </w:rPr>
              <w:t>+</w:t>
            </w:r>
          </w:p>
        </w:tc>
        <w:tc>
          <w:tcPr>
            <w:tcW w:w="8234" w:type="dxa"/>
          </w:tcPr>
          <w:p w14:paraId="0C2CF56D" w14:textId="77777777" w:rsidR="00483321" w:rsidRPr="00615099" w:rsidRDefault="00483321" w:rsidP="00A6304C">
            <w:pPr>
              <w:pStyle w:val="ListParagraph"/>
              <w:ind w:left="0"/>
              <w:rPr>
                <w:rFonts w:cstheme="minorHAnsi"/>
                <w:sz w:val="20"/>
                <w:szCs w:val="20"/>
              </w:rPr>
            </w:pPr>
            <w:r>
              <w:rPr>
                <w:rFonts w:cstheme="minorHAnsi"/>
                <w:sz w:val="20"/>
                <w:szCs w:val="20"/>
              </w:rPr>
              <w:t xml:space="preserve">National legislation transposing the EU EIA and SEA Directives </w:t>
            </w:r>
          </w:p>
        </w:tc>
      </w:tr>
      <w:tr w:rsidR="00483321" w:rsidRPr="00615099" w14:paraId="728B89B9" w14:textId="77777777" w:rsidTr="00A6304C">
        <w:tc>
          <w:tcPr>
            <w:tcW w:w="1247" w:type="dxa"/>
            <w:vAlign w:val="center"/>
          </w:tcPr>
          <w:p w14:paraId="50B1BA78" w14:textId="77777777" w:rsidR="00483321" w:rsidRPr="002E02A3" w:rsidRDefault="00483321" w:rsidP="00A6304C">
            <w:pPr>
              <w:rPr>
                <w:rFonts w:cstheme="minorHAnsi"/>
                <w:color w:val="000000" w:themeColor="text1"/>
                <w:sz w:val="20"/>
                <w:szCs w:val="20"/>
              </w:rPr>
            </w:pPr>
            <w:r w:rsidRPr="002E02A3">
              <w:rPr>
                <w:rFonts w:eastAsia="Times New Roman" w:cstheme="minorHAnsi"/>
                <w:color w:val="000000" w:themeColor="text1"/>
                <w:sz w:val="20"/>
                <w:szCs w:val="20"/>
              </w:rPr>
              <w:t>Cyprus</w:t>
            </w:r>
          </w:p>
        </w:tc>
        <w:tc>
          <w:tcPr>
            <w:tcW w:w="1444" w:type="dxa"/>
            <w:vAlign w:val="center"/>
          </w:tcPr>
          <w:p w14:paraId="4D4B657C" w14:textId="77777777" w:rsidR="00483321" w:rsidRPr="00615099" w:rsidRDefault="00483321" w:rsidP="00A6304C">
            <w:pPr>
              <w:jc w:val="center"/>
              <w:rPr>
                <w:rFonts w:eastAsia="Times New Roman" w:cstheme="minorHAnsi"/>
                <w:sz w:val="20"/>
                <w:szCs w:val="20"/>
              </w:rPr>
            </w:pPr>
            <w:r w:rsidRPr="00615099">
              <w:rPr>
                <w:rFonts w:eastAsia="Times New Roman" w:cstheme="minorHAnsi"/>
                <w:sz w:val="20"/>
                <w:szCs w:val="20"/>
              </w:rPr>
              <w:t>-</w:t>
            </w:r>
          </w:p>
        </w:tc>
        <w:tc>
          <w:tcPr>
            <w:tcW w:w="1173" w:type="dxa"/>
            <w:vAlign w:val="center"/>
          </w:tcPr>
          <w:p w14:paraId="6081225B" w14:textId="77777777" w:rsidR="00483321" w:rsidRPr="00615099" w:rsidRDefault="00483321" w:rsidP="00A6304C">
            <w:pPr>
              <w:pStyle w:val="ListParagraph"/>
              <w:ind w:left="0"/>
              <w:jc w:val="center"/>
              <w:rPr>
                <w:rFonts w:cstheme="minorHAnsi"/>
                <w:sz w:val="20"/>
                <w:szCs w:val="20"/>
              </w:rPr>
            </w:pPr>
            <w:r w:rsidRPr="00615099">
              <w:rPr>
                <w:rFonts w:cstheme="minorHAnsi"/>
                <w:sz w:val="20"/>
                <w:szCs w:val="20"/>
              </w:rPr>
              <w:t>+</w:t>
            </w:r>
          </w:p>
        </w:tc>
        <w:tc>
          <w:tcPr>
            <w:tcW w:w="1211" w:type="dxa"/>
            <w:vAlign w:val="center"/>
          </w:tcPr>
          <w:p w14:paraId="550FF4DE" w14:textId="77777777" w:rsidR="00483321" w:rsidRPr="00615099" w:rsidRDefault="00483321" w:rsidP="00A6304C">
            <w:pPr>
              <w:pStyle w:val="ListParagraph"/>
              <w:ind w:left="0"/>
              <w:jc w:val="center"/>
              <w:rPr>
                <w:rFonts w:cstheme="minorHAnsi"/>
                <w:sz w:val="20"/>
                <w:szCs w:val="20"/>
              </w:rPr>
            </w:pPr>
            <w:r w:rsidRPr="00615099">
              <w:rPr>
                <w:rFonts w:cstheme="minorHAnsi"/>
                <w:sz w:val="20"/>
                <w:szCs w:val="20"/>
              </w:rPr>
              <w:t>+</w:t>
            </w:r>
          </w:p>
        </w:tc>
        <w:tc>
          <w:tcPr>
            <w:tcW w:w="8234" w:type="dxa"/>
          </w:tcPr>
          <w:p w14:paraId="6031D37F" w14:textId="77777777" w:rsidR="00483321" w:rsidRPr="00615099" w:rsidRDefault="00483321" w:rsidP="00A6304C">
            <w:pPr>
              <w:pStyle w:val="ListParagraph"/>
              <w:ind w:left="0"/>
              <w:rPr>
                <w:rFonts w:cstheme="minorHAnsi"/>
                <w:sz w:val="20"/>
                <w:szCs w:val="20"/>
              </w:rPr>
            </w:pPr>
            <w:r>
              <w:rPr>
                <w:rFonts w:cstheme="minorHAnsi"/>
                <w:sz w:val="20"/>
                <w:szCs w:val="20"/>
              </w:rPr>
              <w:t>National legislation transposing the EU EIA and SEA Directives</w:t>
            </w:r>
          </w:p>
        </w:tc>
      </w:tr>
      <w:tr w:rsidR="00483321" w:rsidRPr="00615099" w14:paraId="6EBC5A68" w14:textId="77777777" w:rsidTr="00A6304C">
        <w:tc>
          <w:tcPr>
            <w:tcW w:w="1247" w:type="dxa"/>
            <w:vAlign w:val="center"/>
          </w:tcPr>
          <w:p w14:paraId="6E2F6F32" w14:textId="77777777" w:rsidR="00483321" w:rsidRPr="002E02A3" w:rsidRDefault="00483321" w:rsidP="00A6304C">
            <w:pPr>
              <w:rPr>
                <w:rFonts w:cstheme="minorHAnsi"/>
                <w:color w:val="000000" w:themeColor="text1"/>
                <w:sz w:val="20"/>
                <w:szCs w:val="20"/>
              </w:rPr>
            </w:pPr>
            <w:r>
              <w:rPr>
                <w:rFonts w:cstheme="minorHAnsi"/>
                <w:color w:val="000000" w:themeColor="text1"/>
                <w:sz w:val="20"/>
                <w:szCs w:val="20"/>
              </w:rPr>
              <w:t>EU</w:t>
            </w:r>
          </w:p>
        </w:tc>
        <w:tc>
          <w:tcPr>
            <w:tcW w:w="1444" w:type="dxa"/>
            <w:vAlign w:val="center"/>
          </w:tcPr>
          <w:p w14:paraId="2CC9CE12" w14:textId="77777777" w:rsidR="00483321" w:rsidRPr="00615099" w:rsidRDefault="00483321" w:rsidP="00A6304C">
            <w:pPr>
              <w:jc w:val="center"/>
              <w:rPr>
                <w:rFonts w:eastAsia="Times New Roman" w:cstheme="minorHAnsi"/>
                <w:sz w:val="20"/>
                <w:szCs w:val="20"/>
              </w:rPr>
            </w:pPr>
            <w:r w:rsidRPr="00615099">
              <w:rPr>
                <w:rFonts w:eastAsia="Times New Roman" w:cstheme="minorHAnsi"/>
                <w:sz w:val="20"/>
                <w:szCs w:val="20"/>
              </w:rPr>
              <w:t>29.09.10/AP</w:t>
            </w:r>
          </w:p>
        </w:tc>
        <w:tc>
          <w:tcPr>
            <w:tcW w:w="1173" w:type="dxa"/>
            <w:vAlign w:val="center"/>
          </w:tcPr>
          <w:p w14:paraId="54F35A96" w14:textId="77777777" w:rsidR="00483321" w:rsidRPr="00615099" w:rsidRDefault="00483321" w:rsidP="00A6304C">
            <w:pPr>
              <w:pStyle w:val="ListParagraph"/>
              <w:ind w:left="0"/>
              <w:jc w:val="center"/>
              <w:rPr>
                <w:rFonts w:cstheme="minorHAnsi"/>
                <w:sz w:val="20"/>
                <w:szCs w:val="20"/>
              </w:rPr>
            </w:pPr>
            <w:r w:rsidRPr="00615099">
              <w:rPr>
                <w:rFonts w:cstheme="minorHAnsi"/>
                <w:sz w:val="20"/>
                <w:szCs w:val="20"/>
              </w:rPr>
              <w:t>+</w:t>
            </w:r>
          </w:p>
        </w:tc>
        <w:tc>
          <w:tcPr>
            <w:tcW w:w="1211" w:type="dxa"/>
            <w:vAlign w:val="center"/>
          </w:tcPr>
          <w:p w14:paraId="16E7025D" w14:textId="77777777" w:rsidR="00483321" w:rsidRPr="00615099" w:rsidRDefault="00483321" w:rsidP="00A6304C">
            <w:pPr>
              <w:pStyle w:val="ListParagraph"/>
              <w:ind w:left="0"/>
              <w:jc w:val="center"/>
              <w:rPr>
                <w:rFonts w:cstheme="minorHAnsi"/>
                <w:sz w:val="20"/>
                <w:szCs w:val="20"/>
              </w:rPr>
            </w:pPr>
            <w:r w:rsidRPr="00615099">
              <w:rPr>
                <w:rFonts w:cstheme="minorHAnsi"/>
                <w:sz w:val="20"/>
                <w:szCs w:val="20"/>
              </w:rPr>
              <w:t>+</w:t>
            </w:r>
          </w:p>
        </w:tc>
        <w:tc>
          <w:tcPr>
            <w:tcW w:w="8234" w:type="dxa"/>
          </w:tcPr>
          <w:p w14:paraId="37526368" w14:textId="77777777" w:rsidR="00483321" w:rsidRPr="00903E1A" w:rsidRDefault="00483321" w:rsidP="00A6304C">
            <w:pPr>
              <w:pStyle w:val="ListParagraph"/>
              <w:ind w:left="0"/>
              <w:rPr>
                <w:rFonts w:cstheme="minorHAnsi"/>
                <w:sz w:val="20"/>
                <w:szCs w:val="20"/>
              </w:rPr>
            </w:pPr>
            <w:r>
              <w:rPr>
                <w:rFonts w:cstheme="minorHAnsi"/>
                <w:sz w:val="20"/>
                <w:szCs w:val="20"/>
              </w:rPr>
              <w:t xml:space="preserve">Directive 2014/52/EU amending the EIA Directive 2011/92/EU; </w:t>
            </w:r>
            <w:r>
              <w:rPr>
                <w:rFonts w:cstheme="minorHAnsi"/>
                <w:bCs/>
                <w:color w:val="000000"/>
                <w:sz w:val="20"/>
                <w:szCs w:val="20"/>
              </w:rPr>
              <w:t xml:space="preserve">SEA </w:t>
            </w:r>
            <w:r w:rsidRPr="00903E1A">
              <w:rPr>
                <w:rFonts w:cstheme="minorHAnsi"/>
                <w:bCs/>
                <w:color w:val="000000"/>
                <w:sz w:val="20"/>
                <w:szCs w:val="20"/>
              </w:rPr>
              <w:t>Directive 2001/42/EC</w:t>
            </w:r>
          </w:p>
        </w:tc>
      </w:tr>
      <w:tr w:rsidR="00483321" w:rsidRPr="00615099" w14:paraId="466570A8" w14:textId="77777777" w:rsidTr="00A6304C">
        <w:tc>
          <w:tcPr>
            <w:tcW w:w="1247" w:type="dxa"/>
            <w:vAlign w:val="center"/>
          </w:tcPr>
          <w:p w14:paraId="4AE52883" w14:textId="77777777" w:rsidR="00483321" w:rsidRPr="002E02A3" w:rsidRDefault="00483321" w:rsidP="00A6304C">
            <w:pPr>
              <w:rPr>
                <w:rFonts w:cstheme="minorHAnsi"/>
                <w:color w:val="000000" w:themeColor="text1"/>
                <w:sz w:val="20"/>
                <w:szCs w:val="20"/>
              </w:rPr>
            </w:pPr>
            <w:r w:rsidRPr="002E02A3">
              <w:rPr>
                <w:rFonts w:eastAsia="Times New Roman" w:cstheme="minorHAnsi"/>
                <w:color w:val="000000" w:themeColor="text1"/>
                <w:sz w:val="20"/>
                <w:szCs w:val="20"/>
              </w:rPr>
              <w:t>Egypt</w:t>
            </w:r>
          </w:p>
        </w:tc>
        <w:tc>
          <w:tcPr>
            <w:tcW w:w="1444" w:type="dxa"/>
            <w:vAlign w:val="center"/>
          </w:tcPr>
          <w:p w14:paraId="5450169C" w14:textId="77777777" w:rsidR="00483321" w:rsidRPr="00615099" w:rsidRDefault="00483321" w:rsidP="00A6304C">
            <w:pPr>
              <w:jc w:val="center"/>
              <w:rPr>
                <w:rFonts w:eastAsia="Times New Roman" w:cstheme="minorHAnsi"/>
                <w:sz w:val="20"/>
                <w:szCs w:val="20"/>
              </w:rPr>
            </w:pPr>
            <w:r w:rsidRPr="00615099">
              <w:rPr>
                <w:rFonts w:eastAsia="Times New Roman" w:cstheme="minorHAnsi"/>
                <w:sz w:val="20"/>
                <w:szCs w:val="20"/>
              </w:rPr>
              <w:t>-</w:t>
            </w:r>
          </w:p>
        </w:tc>
        <w:tc>
          <w:tcPr>
            <w:tcW w:w="2384" w:type="dxa"/>
            <w:gridSpan w:val="2"/>
            <w:vAlign w:val="center"/>
          </w:tcPr>
          <w:p w14:paraId="1F804387" w14:textId="77777777" w:rsidR="00483321" w:rsidRPr="00615099" w:rsidRDefault="00483321" w:rsidP="00A6304C">
            <w:pPr>
              <w:pStyle w:val="ListParagraph"/>
              <w:ind w:left="0"/>
              <w:rPr>
                <w:rFonts w:cstheme="minorHAnsi"/>
                <w:sz w:val="20"/>
                <w:szCs w:val="20"/>
              </w:rPr>
            </w:pPr>
            <w:r>
              <w:rPr>
                <w:rFonts w:cstheme="minorHAnsi"/>
                <w:sz w:val="20"/>
                <w:szCs w:val="20"/>
              </w:rPr>
              <w:t>Not a member of UNECE</w:t>
            </w:r>
          </w:p>
        </w:tc>
        <w:tc>
          <w:tcPr>
            <w:tcW w:w="8234" w:type="dxa"/>
          </w:tcPr>
          <w:p w14:paraId="16AB5841" w14:textId="77777777" w:rsidR="00483321" w:rsidRPr="00615099" w:rsidRDefault="00483321" w:rsidP="00A6304C">
            <w:pPr>
              <w:pStyle w:val="ListParagraph"/>
              <w:ind w:left="0"/>
              <w:rPr>
                <w:rFonts w:cstheme="minorHAnsi"/>
                <w:sz w:val="20"/>
                <w:szCs w:val="20"/>
              </w:rPr>
            </w:pPr>
            <w:r>
              <w:rPr>
                <w:rFonts w:cstheme="minorHAnsi"/>
                <w:sz w:val="20"/>
                <w:szCs w:val="20"/>
              </w:rPr>
              <w:t xml:space="preserve">Information not available </w:t>
            </w:r>
          </w:p>
        </w:tc>
      </w:tr>
      <w:tr w:rsidR="00483321" w:rsidRPr="00615099" w14:paraId="6D3FCB17" w14:textId="77777777" w:rsidTr="00A6304C">
        <w:tc>
          <w:tcPr>
            <w:tcW w:w="1247" w:type="dxa"/>
            <w:vAlign w:val="center"/>
          </w:tcPr>
          <w:p w14:paraId="3C9FBBF7" w14:textId="77777777" w:rsidR="00483321" w:rsidRPr="002E02A3" w:rsidRDefault="00483321" w:rsidP="00A6304C">
            <w:pPr>
              <w:rPr>
                <w:rFonts w:cstheme="minorHAnsi"/>
                <w:color w:val="000000" w:themeColor="text1"/>
                <w:sz w:val="20"/>
                <w:szCs w:val="20"/>
              </w:rPr>
            </w:pPr>
            <w:r w:rsidRPr="002E02A3">
              <w:rPr>
                <w:rFonts w:eastAsia="Times New Roman" w:cstheme="minorHAnsi"/>
                <w:color w:val="000000" w:themeColor="text1"/>
                <w:sz w:val="20"/>
                <w:szCs w:val="20"/>
              </w:rPr>
              <w:t>France</w:t>
            </w:r>
          </w:p>
        </w:tc>
        <w:tc>
          <w:tcPr>
            <w:tcW w:w="1444" w:type="dxa"/>
            <w:vAlign w:val="center"/>
          </w:tcPr>
          <w:p w14:paraId="56FAD1E3" w14:textId="77777777" w:rsidR="00483321" w:rsidRPr="00615099" w:rsidRDefault="00483321" w:rsidP="00A6304C">
            <w:pPr>
              <w:jc w:val="center"/>
              <w:rPr>
                <w:rFonts w:eastAsia="Times New Roman" w:cstheme="minorHAnsi"/>
                <w:sz w:val="20"/>
                <w:szCs w:val="20"/>
              </w:rPr>
            </w:pPr>
            <w:r w:rsidRPr="00615099">
              <w:rPr>
                <w:rFonts w:eastAsia="Times New Roman" w:cstheme="minorHAnsi"/>
                <w:sz w:val="20"/>
                <w:szCs w:val="20"/>
              </w:rPr>
              <w:t>29.10.09/AP</w:t>
            </w:r>
          </w:p>
        </w:tc>
        <w:tc>
          <w:tcPr>
            <w:tcW w:w="1173" w:type="dxa"/>
            <w:vAlign w:val="center"/>
          </w:tcPr>
          <w:p w14:paraId="6F52E587" w14:textId="77777777" w:rsidR="00483321" w:rsidRPr="00615099" w:rsidRDefault="00483321" w:rsidP="00A6304C">
            <w:pPr>
              <w:pStyle w:val="ListParagraph"/>
              <w:ind w:left="0"/>
              <w:jc w:val="center"/>
              <w:rPr>
                <w:rFonts w:cstheme="minorHAnsi"/>
                <w:sz w:val="20"/>
                <w:szCs w:val="20"/>
              </w:rPr>
            </w:pPr>
            <w:r w:rsidRPr="00615099">
              <w:rPr>
                <w:rFonts w:cstheme="minorHAnsi"/>
                <w:sz w:val="20"/>
                <w:szCs w:val="20"/>
              </w:rPr>
              <w:t>+</w:t>
            </w:r>
          </w:p>
        </w:tc>
        <w:tc>
          <w:tcPr>
            <w:tcW w:w="1211" w:type="dxa"/>
            <w:vAlign w:val="center"/>
          </w:tcPr>
          <w:p w14:paraId="5A3C53BE" w14:textId="77777777" w:rsidR="00483321" w:rsidRPr="00615099" w:rsidRDefault="00483321" w:rsidP="00A6304C">
            <w:pPr>
              <w:pStyle w:val="ListParagraph"/>
              <w:ind w:left="0"/>
              <w:jc w:val="center"/>
              <w:rPr>
                <w:rFonts w:cstheme="minorHAnsi"/>
                <w:sz w:val="20"/>
                <w:szCs w:val="20"/>
              </w:rPr>
            </w:pPr>
            <w:r w:rsidRPr="00615099">
              <w:rPr>
                <w:rFonts w:cstheme="minorHAnsi"/>
                <w:sz w:val="20"/>
                <w:szCs w:val="20"/>
              </w:rPr>
              <w:t>-</w:t>
            </w:r>
          </w:p>
        </w:tc>
        <w:tc>
          <w:tcPr>
            <w:tcW w:w="8234" w:type="dxa"/>
          </w:tcPr>
          <w:p w14:paraId="576588D9" w14:textId="77777777" w:rsidR="00483321" w:rsidRPr="00615099" w:rsidRDefault="00483321" w:rsidP="00A6304C">
            <w:pPr>
              <w:pStyle w:val="ListParagraph"/>
              <w:ind w:left="0"/>
              <w:rPr>
                <w:rFonts w:cstheme="minorHAnsi"/>
                <w:sz w:val="20"/>
                <w:szCs w:val="20"/>
              </w:rPr>
            </w:pPr>
            <w:r>
              <w:rPr>
                <w:rFonts w:cstheme="minorHAnsi"/>
                <w:sz w:val="20"/>
                <w:szCs w:val="20"/>
              </w:rPr>
              <w:t>National legislation transposing the EU EIA and SEA Directives</w:t>
            </w:r>
          </w:p>
        </w:tc>
      </w:tr>
      <w:tr w:rsidR="00483321" w:rsidRPr="00615099" w14:paraId="543E4F86" w14:textId="77777777" w:rsidTr="00A6304C">
        <w:tc>
          <w:tcPr>
            <w:tcW w:w="1247" w:type="dxa"/>
            <w:vAlign w:val="center"/>
          </w:tcPr>
          <w:p w14:paraId="435F1E87" w14:textId="77777777" w:rsidR="00483321" w:rsidRPr="002E02A3" w:rsidRDefault="00483321" w:rsidP="00A6304C">
            <w:pPr>
              <w:rPr>
                <w:rFonts w:cstheme="minorHAnsi"/>
                <w:color w:val="000000" w:themeColor="text1"/>
                <w:sz w:val="20"/>
                <w:szCs w:val="20"/>
              </w:rPr>
            </w:pPr>
            <w:r w:rsidRPr="002E02A3">
              <w:rPr>
                <w:rFonts w:eastAsia="Times New Roman" w:cstheme="minorHAnsi"/>
                <w:color w:val="000000" w:themeColor="text1"/>
                <w:sz w:val="20"/>
                <w:szCs w:val="20"/>
              </w:rPr>
              <w:t>Greece</w:t>
            </w:r>
          </w:p>
        </w:tc>
        <w:tc>
          <w:tcPr>
            <w:tcW w:w="1444" w:type="dxa"/>
            <w:vAlign w:val="center"/>
          </w:tcPr>
          <w:p w14:paraId="3322ED8C" w14:textId="77777777" w:rsidR="00483321" w:rsidRPr="00615099" w:rsidRDefault="00483321" w:rsidP="00A6304C">
            <w:pPr>
              <w:jc w:val="center"/>
              <w:rPr>
                <w:rFonts w:eastAsia="Times New Roman" w:cstheme="minorHAnsi"/>
                <w:sz w:val="20"/>
                <w:szCs w:val="20"/>
              </w:rPr>
            </w:pPr>
            <w:r w:rsidRPr="00615099">
              <w:rPr>
                <w:rFonts w:eastAsia="Times New Roman" w:cstheme="minorHAnsi"/>
                <w:sz w:val="20"/>
                <w:szCs w:val="20"/>
              </w:rPr>
              <w:t>-</w:t>
            </w:r>
          </w:p>
        </w:tc>
        <w:tc>
          <w:tcPr>
            <w:tcW w:w="1173" w:type="dxa"/>
            <w:vAlign w:val="center"/>
          </w:tcPr>
          <w:p w14:paraId="5DFFD8CB" w14:textId="77777777" w:rsidR="00483321" w:rsidRPr="00615099" w:rsidRDefault="00483321" w:rsidP="00A6304C">
            <w:pPr>
              <w:pStyle w:val="ListParagraph"/>
              <w:ind w:left="0"/>
              <w:jc w:val="center"/>
              <w:rPr>
                <w:rFonts w:cstheme="minorHAnsi"/>
                <w:sz w:val="20"/>
                <w:szCs w:val="20"/>
              </w:rPr>
            </w:pPr>
            <w:r w:rsidRPr="00615099">
              <w:rPr>
                <w:rFonts w:cstheme="minorHAnsi"/>
                <w:sz w:val="20"/>
                <w:szCs w:val="20"/>
              </w:rPr>
              <w:t>+</w:t>
            </w:r>
          </w:p>
        </w:tc>
        <w:tc>
          <w:tcPr>
            <w:tcW w:w="1211" w:type="dxa"/>
            <w:vAlign w:val="center"/>
          </w:tcPr>
          <w:p w14:paraId="3B2CC1C8" w14:textId="77777777" w:rsidR="00483321" w:rsidRPr="00615099" w:rsidRDefault="00483321" w:rsidP="00A6304C">
            <w:pPr>
              <w:pStyle w:val="ListParagraph"/>
              <w:ind w:left="0"/>
              <w:jc w:val="center"/>
              <w:rPr>
                <w:rFonts w:cstheme="minorHAnsi"/>
                <w:sz w:val="20"/>
                <w:szCs w:val="20"/>
              </w:rPr>
            </w:pPr>
            <w:r w:rsidRPr="00615099">
              <w:rPr>
                <w:rFonts w:cstheme="minorHAnsi"/>
                <w:sz w:val="20"/>
                <w:szCs w:val="20"/>
              </w:rPr>
              <w:t>-</w:t>
            </w:r>
          </w:p>
        </w:tc>
        <w:tc>
          <w:tcPr>
            <w:tcW w:w="8234" w:type="dxa"/>
          </w:tcPr>
          <w:p w14:paraId="3F12EDEC" w14:textId="77777777" w:rsidR="00483321" w:rsidRPr="00615099" w:rsidRDefault="00483321" w:rsidP="00A6304C">
            <w:pPr>
              <w:pStyle w:val="ListParagraph"/>
              <w:ind w:left="0"/>
              <w:rPr>
                <w:rFonts w:cstheme="minorHAnsi"/>
                <w:sz w:val="20"/>
                <w:szCs w:val="20"/>
              </w:rPr>
            </w:pPr>
            <w:r>
              <w:rPr>
                <w:rFonts w:cstheme="minorHAnsi"/>
                <w:sz w:val="20"/>
                <w:szCs w:val="20"/>
              </w:rPr>
              <w:t>National legislation transposing the EU EIA and SEA Directives</w:t>
            </w:r>
          </w:p>
        </w:tc>
      </w:tr>
      <w:tr w:rsidR="00483321" w:rsidRPr="00615099" w14:paraId="3E2F8E88" w14:textId="77777777" w:rsidTr="00A6304C">
        <w:tc>
          <w:tcPr>
            <w:tcW w:w="1247" w:type="dxa"/>
            <w:vAlign w:val="center"/>
          </w:tcPr>
          <w:p w14:paraId="757DAAE2" w14:textId="77777777" w:rsidR="00483321" w:rsidRPr="002E02A3" w:rsidRDefault="00483321" w:rsidP="00A6304C">
            <w:pPr>
              <w:rPr>
                <w:rFonts w:cstheme="minorHAnsi"/>
                <w:color w:val="000000" w:themeColor="text1"/>
                <w:sz w:val="20"/>
                <w:szCs w:val="20"/>
              </w:rPr>
            </w:pPr>
            <w:r w:rsidRPr="002E02A3">
              <w:rPr>
                <w:rFonts w:eastAsia="Times New Roman" w:cstheme="minorHAnsi"/>
                <w:color w:val="000000" w:themeColor="text1"/>
                <w:sz w:val="20"/>
                <w:szCs w:val="20"/>
              </w:rPr>
              <w:t>Israel</w:t>
            </w:r>
          </w:p>
        </w:tc>
        <w:tc>
          <w:tcPr>
            <w:tcW w:w="1444" w:type="dxa"/>
            <w:vAlign w:val="center"/>
          </w:tcPr>
          <w:p w14:paraId="71118CD2" w14:textId="77777777" w:rsidR="00483321" w:rsidRPr="00615099" w:rsidRDefault="00483321" w:rsidP="00A6304C">
            <w:pPr>
              <w:jc w:val="center"/>
              <w:rPr>
                <w:rFonts w:eastAsia="Times New Roman" w:cstheme="minorHAnsi"/>
                <w:sz w:val="20"/>
                <w:szCs w:val="20"/>
                <w:highlight w:val="yellow"/>
              </w:rPr>
            </w:pPr>
            <w:r w:rsidRPr="00615099">
              <w:rPr>
                <w:rFonts w:eastAsia="Times New Roman" w:cstheme="minorHAnsi"/>
                <w:sz w:val="20"/>
                <w:szCs w:val="20"/>
              </w:rPr>
              <w:t>01.02.16/R</w:t>
            </w:r>
          </w:p>
        </w:tc>
        <w:tc>
          <w:tcPr>
            <w:tcW w:w="1173" w:type="dxa"/>
            <w:vAlign w:val="center"/>
          </w:tcPr>
          <w:p w14:paraId="495443B5" w14:textId="77777777" w:rsidR="00483321" w:rsidRPr="00615099" w:rsidRDefault="00483321" w:rsidP="00A6304C">
            <w:pPr>
              <w:pStyle w:val="ListParagraph"/>
              <w:ind w:left="0"/>
              <w:jc w:val="center"/>
              <w:rPr>
                <w:rFonts w:cstheme="minorHAnsi"/>
                <w:sz w:val="20"/>
                <w:szCs w:val="20"/>
              </w:rPr>
            </w:pPr>
            <w:r>
              <w:rPr>
                <w:rFonts w:cstheme="minorHAnsi"/>
                <w:sz w:val="20"/>
                <w:szCs w:val="20"/>
              </w:rPr>
              <w:t>-</w:t>
            </w:r>
          </w:p>
        </w:tc>
        <w:tc>
          <w:tcPr>
            <w:tcW w:w="1211" w:type="dxa"/>
            <w:vAlign w:val="center"/>
          </w:tcPr>
          <w:p w14:paraId="40B6547D" w14:textId="77777777" w:rsidR="00483321" w:rsidRPr="00615099" w:rsidRDefault="00483321" w:rsidP="00A6304C">
            <w:pPr>
              <w:pStyle w:val="ListParagraph"/>
              <w:ind w:left="0"/>
              <w:jc w:val="center"/>
              <w:rPr>
                <w:rFonts w:cstheme="minorHAnsi"/>
                <w:sz w:val="20"/>
                <w:szCs w:val="20"/>
              </w:rPr>
            </w:pPr>
            <w:r>
              <w:rPr>
                <w:rFonts w:cstheme="minorHAnsi"/>
                <w:sz w:val="20"/>
                <w:szCs w:val="20"/>
              </w:rPr>
              <w:t>-</w:t>
            </w:r>
          </w:p>
        </w:tc>
        <w:tc>
          <w:tcPr>
            <w:tcW w:w="8234" w:type="dxa"/>
          </w:tcPr>
          <w:p w14:paraId="2DD4222B" w14:textId="77777777" w:rsidR="00483321" w:rsidRPr="00615099" w:rsidRDefault="00483321" w:rsidP="00A6304C">
            <w:pPr>
              <w:pStyle w:val="ListParagraph"/>
              <w:ind w:left="0"/>
              <w:rPr>
                <w:rFonts w:cstheme="minorHAnsi"/>
                <w:sz w:val="20"/>
                <w:szCs w:val="20"/>
              </w:rPr>
            </w:pPr>
            <w:r w:rsidRPr="006F11E7">
              <w:rPr>
                <w:rFonts w:cstheme="minorHAnsi"/>
                <w:sz w:val="20"/>
                <w:szCs w:val="20"/>
              </w:rPr>
              <w:t>Planning and Building Law (Environmental Impact Assessments) Amendment 1982</w:t>
            </w:r>
            <w:r>
              <w:rPr>
                <w:rFonts w:cstheme="minorHAnsi"/>
                <w:sz w:val="20"/>
                <w:szCs w:val="20"/>
              </w:rPr>
              <w:t>; no SEA legislation (</w:t>
            </w:r>
            <w:r w:rsidRPr="00A97817">
              <w:rPr>
                <w:rFonts w:cstheme="minorHAnsi"/>
                <w:i/>
                <w:sz w:val="20"/>
                <w:szCs w:val="20"/>
              </w:rPr>
              <w:t>but SEA conducted for some plans/ programmes, in line with international regulations</w:t>
            </w:r>
            <w:r>
              <w:rPr>
                <w:rFonts w:cstheme="minorHAnsi"/>
                <w:sz w:val="20"/>
                <w:szCs w:val="20"/>
              </w:rPr>
              <w:t>)</w:t>
            </w:r>
          </w:p>
        </w:tc>
      </w:tr>
      <w:tr w:rsidR="00483321" w:rsidRPr="00615099" w14:paraId="546A6181" w14:textId="77777777" w:rsidTr="00A6304C">
        <w:tc>
          <w:tcPr>
            <w:tcW w:w="1247" w:type="dxa"/>
            <w:vAlign w:val="center"/>
          </w:tcPr>
          <w:p w14:paraId="417BD91D" w14:textId="77777777" w:rsidR="00483321" w:rsidRPr="002E02A3" w:rsidRDefault="00483321" w:rsidP="00A6304C">
            <w:pPr>
              <w:rPr>
                <w:rFonts w:cstheme="minorHAnsi"/>
                <w:color w:val="000000" w:themeColor="text1"/>
                <w:sz w:val="20"/>
                <w:szCs w:val="20"/>
              </w:rPr>
            </w:pPr>
            <w:r w:rsidRPr="002E02A3">
              <w:rPr>
                <w:rFonts w:eastAsia="Times New Roman" w:cstheme="minorHAnsi"/>
                <w:color w:val="000000" w:themeColor="text1"/>
                <w:sz w:val="20"/>
                <w:szCs w:val="20"/>
              </w:rPr>
              <w:t>Italy</w:t>
            </w:r>
          </w:p>
        </w:tc>
        <w:tc>
          <w:tcPr>
            <w:tcW w:w="1444" w:type="dxa"/>
            <w:vAlign w:val="center"/>
          </w:tcPr>
          <w:p w14:paraId="474501FB" w14:textId="77777777" w:rsidR="00483321" w:rsidRPr="00615099" w:rsidRDefault="00483321" w:rsidP="00A6304C">
            <w:pPr>
              <w:jc w:val="center"/>
              <w:rPr>
                <w:rFonts w:eastAsia="Times New Roman" w:cstheme="minorHAnsi"/>
                <w:sz w:val="20"/>
                <w:szCs w:val="20"/>
              </w:rPr>
            </w:pPr>
            <w:r w:rsidRPr="00615099">
              <w:rPr>
                <w:rFonts w:eastAsia="Times New Roman" w:cstheme="minorHAnsi"/>
                <w:sz w:val="20"/>
                <w:szCs w:val="20"/>
              </w:rPr>
              <w:t>-</w:t>
            </w:r>
          </w:p>
        </w:tc>
        <w:tc>
          <w:tcPr>
            <w:tcW w:w="1173" w:type="dxa"/>
            <w:vAlign w:val="center"/>
          </w:tcPr>
          <w:p w14:paraId="3D69C8DC" w14:textId="77777777" w:rsidR="00483321" w:rsidRPr="00615099" w:rsidRDefault="00483321" w:rsidP="00A6304C">
            <w:pPr>
              <w:pStyle w:val="ListParagraph"/>
              <w:ind w:left="0"/>
              <w:jc w:val="center"/>
              <w:rPr>
                <w:rFonts w:cstheme="minorHAnsi"/>
                <w:sz w:val="20"/>
                <w:szCs w:val="20"/>
              </w:rPr>
            </w:pPr>
            <w:r w:rsidRPr="00615099">
              <w:rPr>
                <w:rFonts w:cstheme="minorHAnsi"/>
                <w:sz w:val="20"/>
                <w:szCs w:val="20"/>
              </w:rPr>
              <w:t>+</w:t>
            </w:r>
          </w:p>
        </w:tc>
        <w:tc>
          <w:tcPr>
            <w:tcW w:w="1211" w:type="dxa"/>
            <w:vAlign w:val="center"/>
          </w:tcPr>
          <w:p w14:paraId="1E4B6F20" w14:textId="77777777" w:rsidR="00483321" w:rsidRPr="00615099" w:rsidRDefault="00483321" w:rsidP="00A6304C">
            <w:pPr>
              <w:pStyle w:val="ListParagraph"/>
              <w:ind w:left="0"/>
              <w:jc w:val="center"/>
              <w:rPr>
                <w:rFonts w:cstheme="minorHAnsi"/>
                <w:sz w:val="20"/>
                <w:szCs w:val="20"/>
              </w:rPr>
            </w:pPr>
            <w:r w:rsidRPr="00615099">
              <w:rPr>
                <w:rFonts w:cstheme="minorHAnsi"/>
                <w:sz w:val="20"/>
                <w:szCs w:val="20"/>
              </w:rPr>
              <w:t>+</w:t>
            </w:r>
          </w:p>
        </w:tc>
        <w:tc>
          <w:tcPr>
            <w:tcW w:w="8234" w:type="dxa"/>
          </w:tcPr>
          <w:p w14:paraId="4EF2D1E0" w14:textId="77777777" w:rsidR="00483321" w:rsidRPr="00615099" w:rsidRDefault="00483321" w:rsidP="00A6304C">
            <w:pPr>
              <w:pStyle w:val="ListParagraph"/>
              <w:ind w:left="0"/>
              <w:rPr>
                <w:rFonts w:cstheme="minorHAnsi"/>
                <w:sz w:val="20"/>
                <w:szCs w:val="20"/>
              </w:rPr>
            </w:pPr>
            <w:r>
              <w:rPr>
                <w:rFonts w:cstheme="minorHAnsi"/>
                <w:sz w:val="20"/>
                <w:szCs w:val="20"/>
              </w:rPr>
              <w:t>National legislation transposing the EU EIA and SEA Directives</w:t>
            </w:r>
          </w:p>
        </w:tc>
      </w:tr>
      <w:tr w:rsidR="00483321" w:rsidRPr="00615099" w14:paraId="1A826C66" w14:textId="77777777" w:rsidTr="00A6304C">
        <w:tc>
          <w:tcPr>
            <w:tcW w:w="1247" w:type="dxa"/>
            <w:vAlign w:val="center"/>
          </w:tcPr>
          <w:p w14:paraId="102B779F" w14:textId="77777777" w:rsidR="00483321" w:rsidRPr="002E02A3" w:rsidRDefault="00483321" w:rsidP="00A6304C">
            <w:pPr>
              <w:rPr>
                <w:rFonts w:cstheme="minorHAnsi"/>
                <w:color w:val="000000" w:themeColor="text1"/>
                <w:sz w:val="20"/>
                <w:szCs w:val="20"/>
              </w:rPr>
            </w:pPr>
            <w:r w:rsidRPr="002E02A3">
              <w:rPr>
                <w:rFonts w:eastAsia="Times New Roman" w:cstheme="minorHAnsi"/>
                <w:color w:val="000000" w:themeColor="text1"/>
                <w:sz w:val="20"/>
                <w:szCs w:val="20"/>
              </w:rPr>
              <w:t>Lebanon</w:t>
            </w:r>
          </w:p>
        </w:tc>
        <w:tc>
          <w:tcPr>
            <w:tcW w:w="1444" w:type="dxa"/>
            <w:vAlign w:val="center"/>
          </w:tcPr>
          <w:p w14:paraId="6E98B57F" w14:textId="77777777" w:rsidR="00483321" w:rsidRPr="00615099" w:rsidRDefault="00483321" w:rsidP="00A6304C">
            <w:pPr>
              <w:jc w:val="center"/>
              <w:rPr>
                <w:rFonts w:eastAsia="Times New Roman" w:cstheme="minorHAnsi"/>
                <w:sz w:val="20"/>
                <w:szCs w:val="20"/>
              </w:rPr>
            </w:pPr>
            <w:r w:rsidRPr="00615099">
              <w:rPr>
                <w:rFonts w:eastAsia="Times New Roman" w:cstheme="minorHAnsi"/>
                <w:sz w:val="20"/>
                <w:szCs w:val="20"/>
              </w:rPr>
              <w:t>01.08.2017/AC</w:t>
            </w:r>
          </w:p>
        </w:tc>
        <w:tc>
          <w:tcPr>
            <w:tcW w:w="2384" w:type="dxa"/>
            <w:gridSpan w:val="2"/>
            <w:vAlign w:val="center"/>
          </w:tcPr>
          <w:p w14:paraId="7377C5D1" w14:textId="77777777" w:rsidR="00483321" w:rsidRPr="00615099" w:rsidRDefault="00483321" w:rsidP="00A6304C">
            <w:pPr>
              <w:pStyle w:val="ListParagraph"/>
              <w:ind w:left="0"/>
              <w:rPr>
                <w:rFonts w:cstheme="minorHAnsi"/>
                <w:sz w:val="20"/>
                <w:szCs w:val="20"/>
              </w:rPr>
            </w:pPr>
            <w:r>
              <w:rPr>
                <w:rFonts w:cstheme="minorHAnsi"/>
                <w:sz w:val="20"/>
                <w:szCs w:val="20"/>
              </w:rPr>
              <w:t>Not a member of UNECE</w:t>
            </w:r>
          </w:p>
        </w:tc>
        <w:tc>
          <w:tcPr>
            <w:tcW w:w="8234" w:type="dxa"/>
          </w:tcPr>
          <w:p w14:paraId="54ECC65B" w14:textId="77777777" w:rsidR="00483321" w:rsidRPr="00A16F79" w:rsidRDefault="00483321" w:rsidP="00A6304C">
            <w:pPr>
              <w:pStyle w:val="ListParagraph"/>
              <w:ind w:left="0"/>
              <w:rPr>
                <w:rFonts w:cstheme="minorHAnsi"/>
                <w:sz w:val="20"/>
                <w:szCs w:val="20"/>
              </w:rPr>
            </w:pPr>
            <w:r w:rsidRPr="00A16F79">
              <w:rPr>
                <w:sz w:val="20"/>
                <w:szCs w:val="20"/>
              </w:rPr>
              <w:t>Law 444 from 2002 and EIA Decree 8633 from 2012; SEA Decree 8213 from 2012</w:t>
            </w:r>
          </w:p>
        </w:tc>
      </w:tr>
      <w:tr w:rsidR="00483321" w:rsidRPr="00615099" w14:paraId="64EB0E10" w14:textId="77777777" w:rsidTr="00A6304C">
        <w:tc>
          <w:tcPr>
            <w:tcW w:w="1247" w:type="dxa"/>
            <w:vAlign w:val="center"/>
          </w:tcPr>
          <w:p w14:paraId="188548A5" w14:textId="77777777" w:rsidR="00483321" w:rsidRPr="002E02A3" w:rsidRDefault="00483321" w:rsidP="00A6304C">
            <w:pPr>
              <w:rPr>
                <w:rFonts w:cstheme="minorHAnsi"/>
                <w:color w:val="000000" w:themeColor="text1"/>
                <w:sz w:val="20"/>
                <w:szCs w:val="20"/>
              </w:rPr>
            </w:pPr>
            <w:r w:rsidRPr="002E02A3">
              <w:rPr>
                <w:rFonts w:eastAsia="Times New Roman" w:cstheme="minorHAnsi"/>
                <w:color w:val="000000" w:themeColor="text1"/>
                <w:sz w:val="20"/>
                <w:szCs w:val="20"/>
              </w:rPr>
              <w:t>Libya</w:t>
            </w:r>
          </w:p>
        </w:tc>
        <w:tc>
          <w:tcPr>
            <w:tcW w:w="1444" w:type="dxa"/>
            <w:vAlign w:val="center"/>
          </w:tcPr>
          <w:p w14:paraId="4C408F46" w14:textId="77777777" w:rsidR="00483321" w:rsidRPr="00615099" w:rsidRDefault="00483321" w:rsidP="00A6304C">
            <w:pPr>
              <w:jc w:val="center"/>
              <w:rPr>
                <w:rFonts w:eastAsia="Times New Roman" w:cstheme="minorHAnsi"/>
                <w:sz w:val="20"/>
                <w:szCs w:val="20"/>
              </w:rPr>
            </w:pPr>
            <w:r w:rsidRPr="00615099">
              <w:rPr>
                <w:rFonts w:eastAsia="Times New Roman" w:cstheme="minorHAnsi"/>
                <w:sz w:val="20"/>
                <w:szCs w:val="20"/>
              </w:rPr>
              <w:t>-</w:t>
            </w:r>
          </w:p>
        </w:tc>
        <w:tc>
          <w:tcPr>
            <w:tcW w:w="2384" w:type="dxa"/>
            <w:gridSpan w:val="2"/>
            <w:vAlign w:val="center"/>
          </w:tcPr>
          <w:p w14:paraId="63C54625" w14:textId="77777777" w:rsidR="00483321" w:rsidRPr="00615099" w:rsidRDefault="00483321" w:rsidP="00A6304C">
            <w:pPr>
              <w:pStyle w:val="ListParagraph"/>
              <w:ind w:left="0"/>
              <w:rPr>
                <w:rFonts w:cstheme="minorHAnsi"/>
                <w:sz w:val="20"/>
                <w:szCs w:val="20"/>
              </w:rPr>
            </w:pPr>
            <w:r>
              <w:rPr>
                <w:rFonts w:cstheme="minorHAnsi"/>
                <w:sz w:val="20"/>
                <w:szCs w:val="20"/>
              </w:rPr>
              <w:t>Not a member of UNECE</w:t>
            </w:r>
          </w:p>
        </w:tc>
        <w:tc>
          <w:tcPr>
            <w:tcW w:w="8234" w:type="dxa"/>
          </w:tcPr>
          <w:p w14:paraId="2220F1DA" w14:textId="77777777" w:rsidR="00483321" w:rsidRPr="00A16F79" w:rsidRDefault="00483321" w:rsidP="00A6304C">
            <w:pPr>
              <w:pStyle w:val="ListParagraph"/>
              <w:ind w:left="0"/>
              <w:rPr>
                <w:rFonts w:cstheme="minorHAnsi"/>
                <w:sz w:val="20"/>
                <w:szCs w:val="20"/>
              </w:rPr>
            </w:pPr>
            <w:r>
              <w:rPr>
                <w:rFonts w:cstheme="minorHAnsi"/>
                <w:sz w:val="20"/>
                <w:szCs w:val="20"/>
                <w:lang w:bidi="ar-LY"/>
              </w:rPr>
              <w:t xml:space="preserve">Environmental Protection </w:t>
            </w:r>
            <w:r w:rsidRPr="00A16F79">
              <w:rPr>
                <w:rFonts w:cstheme="minorHAnsi"/>
                <w:sz w:val="20"/>
                <w:szCs w:val="20"/>
                <w:lang w:bidi="ar-LY"/>
              </w:rPr>
              <w:t>Law 15/2003</w:t>
            </w:r>
            <w:r>
              <w:rPr>
                <w:rFonts w:cstheme="minorHAnsi"/>
                <w:sz w:val="20"/>
                <w:szCs w:val="20"/>
                <w:lang w:bidi="ar-LY"/>
              </w:rPr>
              <w:t xml:space="preserve"> contains general provisions on EIA and SEA </w:t>
            </w:r>
            <w:r w:rsidRPr="00B82E2F">
              <w:rPr>
                <w:rFonts w:cstheme="minorHAnsi"/>
                <w:i/>
                <w:sz w:val="20"/>
                <w:szCs w:val="20"/>
                <w:lang w:bidi="ar-LY"/>
              </w:rPr>
              <w:t>(EIA Guidelines recently published)</w:t>
            </w:r>
          </w:p>
        </w:tc>
      </w:tr>
      <w:tr w:rsidR="00483321" w:rsidRPr="00615099" w14:paraId="0316BCD5" w14:textId="77777777" w:rsidTr="00A6304C">
        <w:tc>
          <w:tcPr>
            <w:tcW w:w="1247" w:type="dxa"/>
            <w:vAlign w:val="center"/>
          </w:tcPr>
          <w:p w14:paraId="28875BCC" w14:textId="77777777" w:rsidR="00483321" w:rsidRPr="002E02A3" w:rsidRDefault="00483321" w:rsidP="00A6304C">
            <w:pPr>
              <w:rPr>
                <w:rFonts w:cstheme="minorHAnsi"/>
                <w:color w:val="000000" w:themeColor="text1"/>
                <w:sz w:val="20"/>
                <w:szCs w:val="20"/>
              </w:rPr>
            </w:pPr>
            <w:r w:rsidRPr="002E02A3">
              <w:rPr>
                <w:rFonts w:eastAsia="Times New Roman" w:cstheme="minorHAnsi"/>
                <w:color w:val="000000" w:themeColor="text1"/>
                <w:sz w:val="20"/>
                <w:szCs w:val="20"/>
              </w:rPr>
              <w:t>Malta</w:t>
            </w:r>
          </w:p>
        </w:tc>
        <w:tc>
          <w:tcPr>
            <w:tcW w:w="1444" w:type="dxa"/>
            <w:vAlign w:val="center"/>
          </w:tcPr>
          <w:p w14:paraId="6BD96EBC" w14:textId="77777777" w:rsidR="00483321" w:rsidRPr="00615099" w:rsidRDefault="00483321" w:rsidP="00A6304C">
            <w:pPr>
              <w:jc w:val="center"/>
              <w:rPr>
                <w:rFonts w:eastAsia="Times New Roman" w:cstheme="minorHAnsi"/>
                <w:sz w:val="20"/>
                <w:szCs w:val="20"/>
              </w:rPr>
            </w:pPr>
            <w:r w:rsidRPr="00615099">
              <w:rPr>
                <w:rFonts w:eastAsia="Times New Roman" w:cstheme="minorHAnsi"/>
                <w:sz w:val="20"/>
                <w:szCs w:val="20"/>
              </w:rPr>
              <w:t>-</w:t>
            </w:r>
          </w:p>
        </w:tc>
        <w:tc>
          <w:tcPr>
            <w:tcW w:w="1173" w:type="dxa"/>
            <w:vAlign w:val="center"/>
          </w:tcPr>
          <w:p w14:paraId="0F7A0308" w14:textId="77777777" w:rsidR="00483321" w:rsidRPr="00615099" w:rsidRDefault="00483321" w:rsidP="00A6304C">
            <w:pPr>
              <w:pStyle w:val="ListParagraph"/>
              <w:ind w:left="0"/>
              <w:jc w:val="center"/>
              <w:rPr>
                <w:rFonts w:cstheme="minorHAnsi"/>
                <w:sz w:val="20"/>
                <w:szCs w:val="20"/>
              </w:rPr>
            </w:pPr>
            <w:r w:rsidRPr="00615099">
              <w:rPr>
                <w:rFonts w:cstheme="minorHAnsi"/>
                <w:sz w:val="20"/>
                <w:szCs w:val="20"/>
              </w:rPr>
              <w:t>+</w:t>
            </w:r>
          </w:p>
        </w:tc>
        <w:tc>
          <w:tcPr>
            <w:tcW w:w="1211" w:type="dxa"/>
            <w:vAlign w:val="center"/>
          </w:tcPr>
          <w:p w14:paraId="56D31090" w14:textId="77777777" w:rsidR="00483321" w:rsidRPr="00615099" w:rsidRDefault="00483321" w:rsidP="00A6304C">
            <w:pPr>
              <w:pStyle w:val="ListParagraph"/>
              <w:ind w:left="0"/>
              <w:jc w:val="center"/>
              <w:rPr>
                <w:rFonts w:cstheme="minorHAnsi"/>
                <w:sz w:val="20"/>
                <w:szCs w:val="20"/>
              </w:rPr>
            </w:pPr>
            <w:r w:rsidRPr="00615099">
              <w:rPr>
                <w:rFonts w:cstheme="minorHAnsi"/>
                <w:sz w:val="20"/>
                <w:szCs w:val="20"/>
              </w:rPr>
              <w:t>+</w:t>
            </w:r>
          </w:p>
        </w:tc>
        <w:tc>
          <w:tcPr>
            <w:tcW w:w="8234" w:type="dxa"/>
          </w:tcPr>
          <w:p w14:paraId="7A2F492A" w14:textId="77777777" w:rsidR="00483321" w:rsidRPr="00615099" w:rsidRDefault="00483321" w:rsidP="00A6304C">
            <w:pPr>
              <w:pStyle w:val="ListParagraph"/>
              <w:ind w:left="0"/>
              <w:rPr>
                <w:rFonts w:cstheme="minorHAnsi"/>
                <w:sz w:val="20"/>
                <w:szCs w:val="20"/>
              </w:rPr>
            </w:pPr>
            <w:r>
              <w:rPr>
                <w:rFonts w:cstheme="minorHAnsi"/>
                <w:sz w:val="20"/>
                <w:szCs w:val="20"/>
              </w:rPr>
              <w:t>National legislation transposing the EU EIA and SEA Directives</w:t>
            </w:r>
          </w:p>
        </w:tc>
      </w:tr>
      <w:tr w:rsidR="00483321" w:rsidRPr="00615099" w14:paraId="1D690C76" w14:textId="77777777" w:rsidTr="00A6304C">
        <w:tc>
          <w:tcPr>
            <w:tcW w:w="1247" w:type="dxa"/>
            <w:vAlign w:val="center"/>
          </w:tcPr>
          <w:p w14:paraId="1A56F280" w14:textId="77777777" w:rsidR="00483321" w:rsidRPr="002E02A3" w:rsidRDefault="00483321" w:rsidP="00A6304C">
            <w:pPr>
              <w:rPr>
                <w:rFonts w:cstheme="minorHAnsi"/>
                <w:color w:val="000000" w:themeColor="text1"/>
                <w:sz w:val="20"/>
                <w:szCs w:val="20"/>
              </w:rPr>
            </w:pPr>
            <w:r w:rsidRPr="002E02A3">
              <w:rPr>
                <w:rFonts w:eastAsia="Times New Roman" w:cstheme="minorHAnsi"/>
                <w:color w:val="000000" w:themeColor="text1"/>
                <w:sz w:val="20"/>
                <w:szCs w:val="20"/>
              </w:rPr>
              <w:t>Monaco</w:t>
            </w:r>
          </w:p>
        </w:tc>
        <w:tc>
          <w:tcPr>
            <w:tcW w:w="1444" w:type="dxa"/>
            <w:vAlign w:val="center"/>
          </w:tcPr>
          <w:p w14:paraId="14A1D80B" w14:textId="77777777" w:rsidR="00483321" w:rsidRPr="00615099" w:rsidRDefault="00483321" w:rsidP="00A6304C">
            <w:pPr>
              <w:jc w:val="center"/>
              <w:rPr>
                <w:rFonts w:eastAsia="Times New Roman" w:cstheme="minorHAnsi"/>
                <w:sz w:val="20"/>
                <w:szCs w:val="20"/>
              </w:rPr>
            </w:pPr>
            <w:r w:rsidRPr="00615099">
              <w:rPr>
                <w:rFonts w:eastAsia="Times New Roman" w:cstheme="minorHAnsi"/>
                <w:sz w:val="20"/>
                <w:szCs w:val="20"/>
              </w:rPr>
              <w:t>-</w:t>
            </w:r>
          </w:p>
        </w:tc>
        <w:tc>
          <w:tcPr>
            <w:tcW w:w="1173" w:type="dxa"/>
            <w:vAlign w:val="center"/>
          </w:tcPr>
          <w:p w14:paraId="1FE9E9AD" w14:textId="77777777" w:rsidR="00483321" w:rsidRPr="00615099" w:rsidRDefault="00483321" w:rsidP="00A6304C">
            <w:pPr>
              <w:pStyle w:val="ListParagraph"/>
              <w:ind w:left="0"/>
              <w:jc w:val="center"/>
              <w:rPr>
                <w:rFonts w:cstheme="minorHAnsi"/>
                <w:sz w:val="20"/>
                <w:szCs w:val="20"/>
              </w:rPr>
            </w:pPr>
            <w:r>
              <w:rPr>
                <w:rFonts w:cstheme="minorHAnsi"/>
                <w:sz w:val="20"/>
                <w:szCs w:val="20"/>
              </w:rPr>
              <w:t>-</w:t>
            </w:r>
          </w:p>
        </w:tc>
        <w:tc>
          <w:tcPr>
            <w:tcW w:w="1211" w:type="dxa"/>
            <w:vAlign w:val="center"/>
          </w:tcPr>
          <w:p w14:paraId="6BB656DB" w14:textId="77777777" w:rsidR="00483321" w:rsidRPr="00615099" w:rsidRDefault="00483321" w:rsidP="00A6304C">
            <w:pPr>
              <w:pStyle w:val="ListParagraph"/>
              <w:ind w:left="0"/>
              <w:jc w:val="center"/>
              <w:rPr>
                <w:rFonts w:cstheme="minorHAnsi"/>
                <w:sz w:val="20"/>
                <w:szCs w:val="20"/>
              </w:rPr>
            </w:pPr>
            <w:r>
              <w:rPr>
                <w:rFonts w:cstheme="minorHAnsi"/>
                <w:sz w:val="20"/>
                <w:szCs w:val="20"/>
              </w:rPr>
              <w:t>-</w:t>
            </w:r>
          </w:p>
        </w:tc>
        <w:tc>
          <w:tcPr>
            <w:tcW w:w="8234" w:type="dxa"/>
          </w:tcPr>
          <w:p w14:paraId="4D2EF490" w14:textId="77777777" w:rsidR="00483321" w:rsidRPr="00615099" w:rsidRDefault="00483321" w:rsidP="00A6304C">
            <w:pPr>
              <w:pStyle w:val="ListParagraph"/>
              <w:ind w:left="0"/>
              <w:rPr>
                <w:rFonts w:cstheme="minorHAnsi"/>
                <w:sz w:val="20"/>
                <w:szCs w:val="20"/>
              </w:rPr>
            </w:pPr>
            <w:r>
              <w:rPr>
                <w:rFonts w:cstheme="minorHAnsi"/>
                <w:sz w:val="20"/>
                <w:szCs w:val="20"/>
              </w:rPr>
              <w:t xml:space="preserve">Information not available </w:t>
            </w:r>
          </w:p>
        </w:tc>
      </w:tr>
      <w:tr w:rsidR="00483321" w:rsidRPr="00615099" w14:paraId="61EF7277" w14:textId="77777777" w:rsidTr="00A6304C">
        <w:tc>
          <w:tcPr>
            <w:tcW w:w="1247" w:type="dxa"/>
            <w:vAlign w:val="center"/>
          </w:tcPr>
          <w:p w14:paraId="620FBDAB" w14:textId="77777777" w:rsidR="00483321" w:rsidRPr="002E02A3" w:rsidRDefault="00483321" w:rsidP="00A6304C">
            <w:pPr>
              <w:rPr>
                <w:rFonts w:eastAsia="Times New Roman" w:cstheme="minorHAnsi"/>
                <w:color w:val="000000" w:themeColor="text1"/>
                <w:sz w:val="20"/>
                <w:szCs w:val="20"/>
              </w:rPr>
            </w:pPr>
            <w:r w:rsidRPr="002E02A3">
              <w:rPr>
                <w:rFonts w:eastAsia="Times New Roman" w:cstheme="minorHAnsi"/>
                <w:color w:val="000000" w:themeColor="text1"/>
                <w:sz w:val="20"/>
                <w:szCs w:val="20"/>
              </w:rPr>
              <w:t>Montenegro</w:t>
            </w:r>
          </w:p>
        </w:tc>
        <w:tc>
          <w:tcPr>
            <w:tcW w:w="1444" w:type="dxa"/>
            <w:vAlign w:val="center"/>
          </w:tcPr>
          <w:p w14:paraId="10EC28CF" w14:textId="77777777" w:rsidR="00483321" w:rsidRPr="00615099" w:rsidRDefault="00483321" w:rsidP="00A6304C">
            <w:pPr>
              <w:jc w:val="center"/>
              <w:rPr>
                <w:rFonts w:eastAsia="Times New Roman" w:cstheme="minorHAnsi"/>
                <w:sz w:val="20"/>
                <w:szCs w:val="20"/>
              </w:rPr>
            </w:pPr>
            <w:r>
              <w:rPr>
                <w:rFonts w:eastAsia="Times New Roman" w:cstheme="minorHAnsi"/>
                <w:sz w:val="20"/>
                <w:szCs w:val="20"/>
              </w:rPr>
              <w:t>09.01.12/R</w:t>
            </w:r>
          </w:p>
        </w:tc>
        <w:tc>
          <w:tcPr>
            <w:tcW w:w="1173" w:type="dxa"/>
            <w:vAlign w:val="center"/>
          </w:tcPr>
          <w:p w14:paraId="4EE63EF3" w14:textId="77777777" w:rsidR="00483321" w:rsidRPr="00615099" w:rsidRDefault="00483321" w:rsidP="00A6304C">
            <w:pPr>
              <w:pStyle w:val="ListParagraph"/>
              <w:ind w:left="0"/>
              <w:jc w:val="center"/>
              <w:rPr>
                <w:rFonts w:cstheme="minorHAnsi"/>
                <w:sz w:val="20"/>
                <w:szCs w:val="20"/>
              </w:rPr>
            </w:pPr>
            <w:r w:rsidRPr="00615099">
              <w:rPr>
                <w:rFonts w:cstheme="minorHAnsi"/>
                <w:sz w:val="20"/>
                <w:szCs w:val="20"/>
              </w:rPr>
              <w:t>+</w:t>
            </w:r>
          </w:p>
        </w:tc>
        <w:tc>
          <w:tcPr>
            <w:tcW w:w="1211" w:type="dxa"/>
            <w:vAlign w:val="center"/>
          </w:tcPr>
          <w:p w14:paraId="7209E17E" w14:textId="77777777" w:rsidR="00483321" w:rsidRPr="00615099" w:rsidRDefault="00483321" w:rsidP="00A6304C">
            <w:pPr>
              <w:pStyle w:val="ListParagraph"/>
              <w:ind w:left="0"/>
              <w:jc w:val="center"/>
              <w:rPr>
                <w:rFonts w:cstheme="minorHAnsi"/>
                <w:sz w:val="20"/>
                <w:szCs w:val="20"/>
              </w:rPr>
            </w:pPr>
            <w:r w:rsidRPr="00615099">
              <w:rPr>
                <w:rFonts w:cstheme="minorHAnsi"/>
                <w:sz w:val="20"/>
                <w:szCs w:val="20"/>
              </w:rPr>
              <w:t>+</w:t>
            </w:r>
          </w:p>
        </w:tc>
        <w:tc>
          <w:tcPr>
            <w:tcW w:w="8234" w:type="dxa"/>
          </w:tcPr>
          <w:p w14:paraId="001C8A3A" w14:textId="77777777" w:rsidR="00483321" w:rsidRPr="00615099" w:rsidRDefault="00483321" w:rsidP="00A6304C">
            <w:pPr>
              <w:pStyle w:val="ListParagraph"/>
              <w:ind w:left="0"/>
              <w:rPr>
                <w:rFonts w:cstheme="minorHAnsi"/>
                <w:sz w:val="20"/>
                <w:szCs w:val="20"/>
              </w:rPr>
            </w:pPr>
            <w:r w:rsidRPr="006F11E7">
              <w:rPr>
                <w:rFonts w:cstheme="minorHAnsi"/>
                <w:sz w:val="20"/>
                <w:szCs w:val="20"/>
              </w:rPr>
              <w:t>Law on EIA</w:t>
            </w:r>
            <w:r>
              <w:rPr>
                <w:rFonts w:cstheme="minorHAnsi"/>
                <w:sz w:val="20"/>
                <w:szCs w:val="20"/>
              </w:rPr>
              <w:t xml:space="preserve"> 80/05, 40/10, 73/10, 40/11, 27/13, 52/163; Law on SEA 80/05, 40/11, 59/11, 52/16</w:t>
            </w:r>
          </w:p>
        </w:tc>
      </w:tr>
      <w:tr w:rsidR="00483321" w:rsidRPr="00615099" w14:paraId="1C40709F" w14:textId="77777777" w:rsidTr="00A6304C">
        <w:tc>
          <w:tcPr>
            <w:tcW w:w="1247" w:type="dxa"/>
            <w:vAlign w:val="center"/>
          </w:tcPr>
          <w:p w14:paraId="3A071D31" w14:textId="77777777" w:rsidR="00483321" w:rsidRPr="002E02A3" w:rsidRDefault="00483321" w:rsidP="00A6304C">
            <w:pPr>
              <w:rPr>
                <w:rFonts w:cstheme="minorHAnsi"/>
                <w:color w:val="000000" w:themeColor="text1"/>
                <w:sz w:val="20"/>
                <w:szCs w:val="20"/>
              </w:rPr>
            </w:pPr>
            <w:r w:rsidRPr="002E02A3">
              <w:rPr>
                <w:rFonts w:eastAsia="Times New Roman" w:cstheme="minorHAnsi"/>
                <w:color w:val="000000" w:themeColor="text1"/>
                <w:sz w:val="20"/>
                <w:szCs w:val="20"/>
              </w:rPr>
              <w:t>Morocco</w:t>
            </w:r>
          </w:p>
        </w:tc>
        <w:tc>
          <w:tcPr>
            <w:tcW w:w="1444" w:type="dxa"/>
            <w:vAlign w:val="center"/>
          </w:tcPr>
          <w:p w14:paraId="3DF7C07C" w14:textId="77777777" w:rsidR="00483321" w:rsidRPr="00615099" w:rsidRDefault="00483321" w:rsidP="00A6304C">
            <w:pPr>
              <w:jc w:val="center"/>
              <w:rPr>
                <w:rFonts w:eastAsia="Times New Roman" w:cstheme="minorHAnsi"/>
                <w:sz w:val="20"/>
                <w:szCs w:val="20"/>
              </w:rPr>
            </w:pPr>
            <w:r w:rsidRPr="00615099">
              <w:rPr>
                <w:rFonts w:eastAsia="Times New Roman" w:cstheme="minorHAnsi"/>
                <w:sz w:val="20"/>
                <w:szCs w:val="20"/>
              </w:rPr>
              <w:t>21</w:t>
            </w:r>
            <w:r>
              <w:rPr>
                <w:rFonts w:eastAsia="Times New Roman" w:cstheme="minorHAnsi"/>
                <w:sz w:val="20"/>
                <w:szCs w:val="20"/>
              </w:rPr>
              <w:t>.</w:t>
            </w:r>
            <w:r w:rsidRPr="00615099">
              <w:rPr>
                <w:rFonts w:eastAsia="Times New Roman" w:cstheme="minorHAnsi"/>
                <w:sz w:val="20"/>
                <w:szCs w:val="20"/>
              </w:rPr>
              <w:t>09</w:t>
            </w:r>
            <w:r>
              <w:rPr>
                <w:rFonts w:eastAsia="Times New Roman" w:cstheme="minorHAnsi"/>
                <w:sz w:val="20"/>
                <w:szCs w:val="20"/>
              </w:rPr>
              <w:t>.</w:t>
            </w:r>
            <w:r w:rsidRPr="00615099">
              <w:rPr>
                <w:rFonts w:eastAsia="Times New Roman" w:cstheme="minorHAnsi"/>
                <w:sz w:val="20"/>
                <w:szCs w:val="20"/>
              </w:rPr>
              <w:t>12/R</w:t>
            </w:r>
          </w:p>
        </w:tc>
        <w:tc>
          <w:tcPr>
            <w:tcW w:w="2384" w:type="dxa"/>
            <w:gridSpan w:val="2"/>
            <w:vAlign w:val="center"/>
          </w:tcPr>
          <w:p w14:paraId="64A02D29" w14:textId="77777777" w:rsidR="00483321" w:rsidRPr="00615099" w:rsidRDefault="00483321" w:rsidP="00A6304C">
            <w:pPr>
              <w:pStyle w:val="ListParagraph"/>
              <w:ind w:left="0"/>
              <w:rPr>
                <w:rFonts w:cstheme="minorHAnsi"/>
                <w:sz w:val="20"/>
                <w:szCs w:val="20"/>
              </w:rPr>
            </w:pPr>
            <w:r>
              <w:rPr>
                <w:rFonts w:cstheme="minorHAnsi"/>
                <w:sz w:val="20"/>
                <w:szCs w:val="20"/>
              </w:rPr>
              <w:t>Not a member of UNECE</w:t>
            </w:r>
          </w:p>
        </w:tc>
        <w:tc>
          <w:tcPr>
            <w:tcW w:w="8234" w:type="dxa"/>
          </w:tcPr>
          <w:p w14:paraId="6FF16F1C" w14:textId="77777777" w:rsidR="00483321" w:rsidRPr="002A5ADF" w:rsidRDefault="00483321" w:rsidP="00A6304C">
            <w:pPr>
              <w:pStyle w:val="ListParagraph"/>
              <w:ind w:left="0"/>
              <w:rPr>
                <w:rFonts w:cstheme="minorHAnsi"/>
                <w:sz w:val="20"/>
                <w:szCs w:val="20"/>
              </w:rPr>
            </w:pPr>
            <w:r w:rsidRPr="002A5ADF">
              <w:rPr>
                <w:sz w:val="20"/>
                <w:szCs w:val="20"/>
              </w:rPr>
              <w:t>EIA Law 12-03 from 2003 and implementing Decrees 2-04-563 and 2-04-564 from 2008; SEA legislation in preparation (draft Law 49-17)</w:t>
            </w:r>
          </w:p>
        </w:tc>
      </w:tr>
      <w:tr w:rsidR="00483321" w:rsidRPr="00615099" w14:paraId="0F4F4A0F" w14:textId="77777777" w:rsidTr="00A6304C">
        <w:tc>
          <w:tcPr>
            <w:tcW w:w="1247" w:type="dxa"/>
            <w:vAlign w:val="center"/>
          </w:tcPr>
          <w:p w14:paraId="6F2D4984" w14:textId="77777777" w:rsidR="00483321" w:rsidRPr="002E02A3" w:rsidRDefault="00483321" w:rsidP="00A6304C">
            <w:pPr>
              <w:rPr>
                <w:rFonts w:cstheme="minorHAnsi"/>
                <w:color w:val="000000" w:themeColor="text1"/>
                <w:sz w:val="20"/>
                <w:szCs w:val="20"/>
              </w:rPr>
            </w:pPr>
            <w:r w:rsidRPr="002E02A3">
              <w:rPr>
                <w:rFonts w:eastAsia="Times New Roman" w:cstheme="minorHAnsi"/>
                <w:color w:val="000000" w:themeColor="text1"/>
                <w:sz w:val="20"/>
                <w:szCs w:val="20"/>
              </w:rPr>
              <w:t>Slovenia</w:t>
            </w:r>
          </w:p>
        </w:tc>
        <w:tc>
          <w:tcPr>
            <w:tcW w:w="1444" w:type="dxa"/>
            <w:vAlign w:val="center"/>
          </w:tcPr>
          <w:p w14:paraId="376A5147" w14:textId="77777777" w:rsidR="00483321" w:rsidRPr="00615099" w:rsidRDefault="00483321" w:rsidP="00A6304C">
            <w:pPr>
              <w:jc w:val="center"/>
              <w:rPr>
                <w:rFonts w:eastAsia="Times New Roman" w:cstheme="minorHAnsi"/>
                <w:sz w:val="20"/>
                <w:szCs w:val="20"/>
              </w:rPr>
            </w:pPr>
            <w:r w:rsidRPr="00615099">
              <w:rPr>
                <w:rFonts w:eastAsia="Times New Roman" w:cstheme="minorHAnsi"/>
                <w:sz w:val="20"/>
                <w:szCs w:val="20"/>
              </w:rPr>
              <w:t>01.12.09/R</w:t>
            </w:r>
          </w:p>
        </w:tc>
        <w:tc>
          <w:tcPr>
            <w:tcW w:w="1173" w:type="dxa"/>
            <w:vAlign w:val="center"/>
          </w:tcPr>
          <w:p w14:paraId="04BCE23E" w14:textId="77777777" w:rsidR="00483321" w:rsidRPr="00615099" w:rsidRDefault="00483321" w:rsidP="00A6304C">
            <w:pPr>
              <w:pStyle w:val="ListParagraph"/>
              <w:ind w:left="0"/>
              <w:jc w:val="center"/>
              <w:rPr>
                <w:rFonts w:cstheme="minorHAnsi"/>
                <w:sz w:val="20"/>
                <w:szCs w:val="20"/>
              </w:rPr>
            </w:pPr>
            <w:r w:rsidRPr="00615099">
              <w:rPr>
                <w:rFonts w:cstheme="minorHAnsi"/>
                <w:sz w:val="20"/>
                <w:szCs w:val="20"/>
              </w:rPr>
              <w:t>+</w:t>
            </w:r>
          </w:p>
        </w:tc>
        <w:tc>
          <w:tcPr>
            <w:tcW w:w="1211" w:type="dxa"/>
            <w:vAlign w:val="center"/>
          </w:tcPr>
          <w:p w14:paraId="5D402902" w14:textId="77777777" w:rsidR="00483321" w:rsidRPr="00615099" w:rsidRDefault="00483321" w:rsidP="00A6304C">
            <w:pPr>
              <w:pStyle w:val="ListParagraph"/>
              <w:ind w:left="0"/>
              <w:jc w:val="center"/>
              <w:rPr>
                <w:rFonts w:cstheme="minorHAnsi"/>
                <w:sz w:val="20"/>
                <w:szCs w:val="20"/>
              </w:rPr>
            </w:pPr>
            <w:r w:rsidRPr="00615099">
              <w:rPr>
                <w:rFonts w:cstheme="minorHAnsi"/>
                <w:sz w:val="20"/>
                <w:szCs w:val="20"/>
              </w:rPr>
              <w:t>+</w:t>
            </w:r>
          </w:p>
        </w:tc>
        <w:tc>
          <w:tcPr>
            <w:tcW w:w="8234" w:type="dxa"/>
          </w:tcPr>
          <w:p w14:paraId="01720C52" w14:textId="77777777" w:rsidR="00483321" w:rsidRPr="00615099" w:rsidRDefault="00483321" w:rsidP="00A6304C">
            <w:pPr>
              <w:pStyle w:val="ListParagraph"/>
              <w:ind w:left="0"/>
              <w:rPr>
                <w:rFonts w:cstheme="minorHAnsi"/>
                <w:sz w:val="20"/>
                <w:szCs w:val="20"/>
              </w:rPr>
            </w:pPr>
            <w:r>
              <w:rPr>
                <w:rFonts w:cstheme="minorHAnsi"/>
                <w:sz w:val="20"/>
                <w:szCs w:val="20"/>
              </w:rPr>
              <w:t>National legislation transposing the EU EIA and SEA Directives</w:t>
            </w:r>
          </w:p>
        </w:tc>
      </w:tr>
      <w:tr w:rsidR="00483321" w:rsidRPr="00615099" w14:paraId="435755AA" w14:textId="77777777" w:rsidTr="00A6304C">
        <w:tc>
          <w:tcPr>
            <w:tcW w:w="1247" w:type="dxa"/>
            <w:vAlign w:val="center"/>
          </w:tcPr>
          <w:p w14:paraId="6FD8D1A0" w14:textId="77777777" w:rsidR="00483321" w:rsidRPr="002E02A3" w:rsidRDefault="00483321" w:rsidP="00A6304C">
            <w:pPr>
              <w:rPr>
                <w:rFonts w:cstheme="minorHAnsi"/>
                <w:color w:val="000000" w:themeColor="text1"/>
                <w:sz w:val="20"/>
                <w:szCs w:val="20"/>
              </w:rPr>
            </w:pPr>
            <w:r w:rsidRPr="002E02A3">
              <w:rPr>
                <w:rFonts w:eastAsia="Times New Roman" w:cstheme="minorHAnsi"/>
                <w:color w:val="000000" w:themeColor="text1"/>
                <w:sz w:val="20"/>
                <w:szCs w:val="20"/>
              </w:rPr>
              <w:t>Spain</w:t>
            </w:r>
          </w:p>
        </w:tc>
        <w:tc>
          <w:tcPr>
            <w:tcW w:w="1444" w:type="dxa"/>
            <w:vAlign w:val="center"/>
          </w:tcPr>
          <w:p w14:paraId="6BEEEAF5" w14:textId="77777777" w:rsidR="00483321" w:rsidRPr="00615099" w:rsidRDefault="00483321" w:rsidP="00A6304C">
            <w:pPr>
              <w:jc w:val="center"/>
              <w:rPr>
                <w:rFonts w:eastAsia="Times New Roman" w:cstheme="minorHAnsi"/>
                <w:sz w:val="20"/>
                <w:szCs w:val="20"/>
              </w:rPr>
            </w:pPr>
            <w:r w:rsidRPr="00615099">
              <w:rPr>
                <w:rFonts w:eastAsia="Times New Roman" w:cstheme="minorHAnsi"/>
                <w:sz w:val="20"/>
                <w:szCs w:val="20"/>
              </w:rPr>
              <w:t>22.06.10/R</w:t>
            </w:r>
          </w:p>
        </w:tc>
        <w:tc>
          <w:tcPr>
            <w:tcW w:w="1173" w:type="dxa"/>
            <w:vAlign w:val="center"/>
          </w:tcPr>
          <w:p w14:paraId="47B8BCF4" w14:textId="77777777" w:rsidR="00483321" w:rsidRPr="00615099" w:rsidRDefault="00483321" w:rsidP="00A6304C">
            <w:pPr>
              <w:pStyle w:val="ListParagraph"/>
              <w:ind w:left="0"/>
              <w:jc w:val="center"/>
              <w:rPr>
                <w:rFonts w:cstheme="minorHAnsi"/>
                <w:sz w:val="20"/>
                <w:szCs w:val="20"/>
              </w:rPr>
            </w:pPr>
            <w:r w:rsidRPr="00615099">
              <w:rPr>
                <w:rFonts w:cstheme="minorHAnsi"/>
                <w:sz w:val="20"/>
                <w:szCs w:val="20"/>
              </w:rPr>
              <w:t>+</w:t>
            </w:r>
          </w:p>
        </w:tc>
        <w:tc>
          <w:tcPr>
            <w:tcW w:w="1211" w:type="dxa"/>
            <w:vAlign w:val="center"/>
          </w:tcPr>
          <w:p w14:paraId="1535B18A" w14:textId="77777777" w:rsidR="00483321" w:rsidRPr="00615099" w:rsidRDefault="00483321" w:rsidP="00A6304C">
            <w:pPr>
              <w:pStyle w:val="ListParagraph"/>
              <w:ind w:left="0"/>
              <w:jc w:val="center"/>
              <w:rPr>
                <w:rFonts w:cstheme="minorHAnsi"/>
                <w:sz w:val="20"/>
                <w:szCs w:val="20"/>
              </w:rPr>
            </w:pPr>
            <w:r w:rsidRPr="00615099">
              <w:rPr>
                <w:rFonts w:cstheme="minorHAnsi"/>
                <w:sz w:val="20"/>
                <w:szCs w:val="20"/>
              </w:rPr>
              <w:t>+</w:t>
            </w:r>
          </w:p>
        </w:tc>
        <w:tc>
          <w:tcPr>
            <w:tcW w:w="8234" w:type="dxa"/>
          </w:tcPr>
          <w:p w14:paraId="47E8A6E4" w14:textId="77777777" w:rsidR="00483321" w:rsidRPr="00615099" w:rsidRDefault="00483321" w:rsidP="00A6304C">
            <w:pPr>
              <w:pStyle w:val="ListParagraph"/>
              <w:ind w:left="0"/>
              <w:rPr>
                <w:rFonts w:cstheme="minorHAnsi"/>
                <w:sz w:val="20"/>
                <w:szCs w:val="20"/>
              </w:rPr>
            </w:pPr>
            <w:r>
              <w:rPr>
                <w:rFonts w:cstheme="minorHAnsi"/>
                <w:sz w:val="20"/>
                <w:szCs w:val="20"/>
              </w:rPr>
              <w:t>National legislation transposing the EU EIA and SEA Directives</w:t>
            </w:r>
          </w:p>
        </w:tc>
      </w:tr>
      <w:tr w:rsidR="00483321" w:rsidRPr="00615099" w14:paraId="411D8592" w14:textId="77777777" w:rsidTr="00A6304C">
        <w:tc>
          <w:tcPr>
            <w:tcW w:w="1247" w:type="dxa"/>
            <w:vAlign w:val="center"/>
          </w:tcPr>
          <w:p w14:paraId="087E36A0" w14:textId="77777777" w:rsidR="00483321" w:rsidRPr="002E02A3" w:rsidRDefault="00483321" w:rsidP="00A6304C">
            <w:pPr>
              <w:rPr>
                <w:rFonts w:cstheme="minorHAnsi"/>
                <w:color w:val="000000" w:themeColor="text1"/>
                <w:sz w:val="20"/>
                <w:szCs w:val="20"/>
              </w:rPr>
            </w:pPr>
            <w:r w:rsidRPr="002E02A3">
              <w:rPr>
                <w:rFonts w:eastAsia="Times New Roman" w:cstheme="minorHAnsi"/>
                <w:color w:val="000000" w:themeColor="text1"/>
                <w:sz w:val="20"/>
                <w:szCs w:val="20"/>
              </w:rPr>
              <w:t>Syria</w:t>
            </w:r>
          </w:p>
        </w:tc>
        <w:tc>
          <w:tcPr>
            <w:tcW w:w="1444" w:type="dxa"/>
            <w:vAlign w:val="center"/>
          </w:tcPr>
          <w:p w14:paraId="6D023FC2" w14:textId="77777777" w:rsidR="00483321" w:rsidRPr="00615099" w:rsidRDefault="00483321" w:rsidP="00A6304C">
            <w:pPr>
              <w:jc w:val="center"/>
              <w:rPr>
                <w:rFonts w:eastAsia="Times New Roman" w:cstheme="minorHAnsi"/>
                <w:sz w:val="20"/>
                <w:szCs w:val="20"/>
              </w:rPr>
            </w:pPr>
            <w:r w:rsidRPr="00615099">
              <w:rPr>
                <w:rFonts w:eastAsia="Times New Roman" w:cstheme="minorHAnsi"/>
                <w:sz w:val="20"/>
                <w:szCs w:val="20"/>
              </w:rPr>
              <w:t>22.02.2011</w:t>
            </w:r>
          </w:p>
        </w:tc>
        <w:tc>
          <w:tcPr>
            <w:tcW w:w="2384" w:type="dxa"/>
            <w:gridSpan w:val="2"/>
            <w:vAlign w:val="center"/>
          </w:tcPr>
          <w:p w14:paraId="0A54F90E" w14:textId="77777777" w:rsidR="00483321" w:rsidRPr="00615099" w:rsidRDefault="00483321" w:rsidP="00A6304C">
            <w:pPr>
              <w:pStyle w:val="ListParagraph"/>
              <w:ind w:left="0"/>
              <w:rPr>
                <w:rFonts w:cstheme="minorHAnsi"/>
                <w:sz w:val="20"/>
                <w:szCs w:val="20"/>
              </w:rPr>
            </w:pPr>
            <w:r>
              <w:rPr>
                <w:rFonts w:cstheme="minorHAnsi"/>
                <w:sz w:val="20"/>
                <w:szCs w:val="20"/>
              </w:rPr>
              <w:t>Not a member of UNECE</w:t>
            </w:r>
          </w:p>
        </w:tc>
        <w:tc>
          <w:tcPr>
            <w:tcW w:w="8234" w:type="dxa"/>
          </w:tcPr>
          <w:p w14:paraId="78E3400F" w14:textId="77777777" w:rsidR="00483321" w:rsidRPr="00615099" w:rsidRDefault="00483321" w:rsidP="00A6304C">
            <w:pPr>
              <w:pStyle w:val="ListParagraph"/>
              <w:ind w:left="0"/>
              <w:rPr>
                <w:rFonts w:cstheme="minorHAnsi"/>
                <w:sz w:val="20"/>
                <w:szCs w:val="20"/>
              </w:rPr>
            </w:pPr>
            <w:r>
              <w:rPr>
                <w:rFonts w:cstheme="minorHAnsi"/>
                <w:sz w:val="20"/>
                <w:szCs w:val="20"/>
              </w:rPr>
              <w:t xml:space="preserve">Environment Law 20 from 2012 </w:t>
            </w:r>
            <w:r>
              <w:rPr>
                <w:rFonts w:cstheme="minorHAnsi"/>
                <w:sz w:val="20"/>
                <w:szCs w:val="20"/>
                <w:lang w:bidi="ar-LY"/>
              </w:rPr>
              <w:t>contains general provisions on EIA and SEA, executive instructions yet to be adopted (previously, EIA and SEA executive instructions issued in 2008)</w:t>
            </w:r>
          </w:p>
        </w:tc>
      </w:tr>
      <w:tr w:rsidR="00483321" w:rsidRPr="00615099" w14:paraId="5EBC1AF5" w14:textId="77777777" w:rsidTr="00A6304C">
        <w:tc>
          <w:tcPr>
            <w:tcW w:w="1247" w:type="dxa"/>
            <w:vAlign w:val="center"/>
          </w:tcPr>
          <w:p w14:paraId="249A1146" w14:textId="77777777" w:rsidR="00483321" w:rsidRPr="002E02A3" w:rsidRDefault="00483321" w:rsidP="00A6304C">
            <w:pPr>
              <w:rPr>
                <w:rFonts w:cstheme="minorHAnsi"/>
                <w:color w:val="000000" w:themeColor="text1"/>
                <w:sz w:val="20"/>
                <w:szCs w:val="20"/>
              </w:rPr>
            </w:pPr>
            <w:r w:rsidRPr="002E02A3">
              <w:rPr>
                <w:rFonts w:eastAsia="Times New Roman" w:cstheme="minorHAnsi"/>
                <w:color w:val="000000" w:themeColor="text1"/>
                <w:sz w:val="20"/>
                <w:szCs w:val="20"/>
              </w:rPr>
              <w:t>Tunisia</w:t>
            </w:r>
          </w:p>
        </w:tc>
        <w:tc>
          <w:tcPr>
            <w:tcW w:w="1444" w:type="dxa"/>
            <w:vAlign w:val="center"/>
          </w:tcPr>
          <w:p w14:paraId="45957F19" w14:textId="77777777" w:rsidR="00483321" w:rsidRPr="00615099" w:rsidRDefault="00483321" w:rsidP="00A6304C">
            <w:pPr>
              <w:jc w:val="center"/>
              <w:rPr>
                <w:rFonts w:eastAsia="Times New Roman" w:cstheme="minorHAnsi"/>
                <w:sz w:val="20"/>
                <w:szCs w:val="20"/>
              </w:rPr>
            </w:pPr>
            <w:r w:rsidRPr="00615099">
              <w:rPr>
                <w:rFonts w:eastAsia="Times New Roman" w:cstheme="minorHAnsi"/>
                <w:sz w:val="20"/>
                <w:szCs w:val="20"/>
              </w:rPr>
              <w:t>-</w:t>
            </w:r>
          </w:p>
        </w:tc>
        <w:tc>
          <w:tcPr>
            <w:tcW w:w="2384" w:type="dxa"/>
            <w:gridSpan w:val="2"/>
            <w:vAlign w:val="center"/>
          </w:tcPr>
          <w:p w14:paraId="1339C5AA" w14:textId="77777777" w:rsidR="00483321" w:rsidRPr="00615099" w:rsidRDefault="00483321" w:rsidP="00A6304C">
            <w:pPr>
              <w:pStyle w:val="ListParagraph"/>
              <w:ind w:left="0"/>
              <w:rPr>
                <w:rFonts w:cstheme="minorHAnsi"/>
                <w:sz w:val="20"/>
                <w:szCs w:val="20"/>
              </w:rPr>
            </w:pPr>
            <w:r>
              <w:rPr>
                <w:rFonts w:cstheme="minorHAnsi"/>
                <w:sz w:val="20"/>
                <w:szCs w:val="20"/>
              </w:rPr>
              <w:t>Not a member of UNECE</w:t>
            </w:r>
          </w:p>
        </w:tc>
        <w:tc>
          <w:tcPr>
            <w:tcW w:w="8234" w:type="dxa"/>
          </w:tcPr>
          <w:p w14:paraId="2A60CD98" w14:textId="64C68141" w:rsidR="00483321" w:rsidRPr="00615099" w:rsidRDefault="00483321" w:rsidP="00B82E2F">
            <w:pPr>
              <w:pStyle w:val="ListParagraph"/>
              <w:ind w:left="0"/>
              <w:rPr>
                <w:rFonts w:cstheme="minorHAnsi"/>
                <w:sz w:val="20"/>
                <w:szCs w:val="20"/>
              </w:rPr>
            </w:pPr>
            <w:r>
              <w:rPr>
                <w:rFonts w:cstheme="minorHAnsi"/>
                <w:sz w:val="20"/>
                <w:szCs w:val="20"/>
              </w:rPr>
              <w:t>EIA Decree 2005</w:t>
            </w:r>
            <w:r w:rsidR="00B82E2F">
              <w:rPr>
                <w:rFonts w:cstheme="minorHAnsi"/>
                <w:sz w:val="20"/>
                <w:szCs w:val="20"/>
              </w:rPr>
              <w:t>-</w:t>
            </w:r>
            <w:r>
              <w:rPr>
                <w:rFonts w:cstheme="minorHAnsi"/>
                <w:sz w:val="20"/>
                <w:szCs w:val="20"/>
              </w:rPr>
              <w:t xml:space="preserve">1991 from 2005, amending the </w:t>
            </w:r>
            <w:r w:rsidRPr="00FB3E0E">
              <w:rPr>
                <w:rFonts w:cstheme="minorHAnsi"/>
                <w:sz w:val="20"/>
                <w:szCs w:val="20"/>
              </w:rPr>
              <w:t>Decree 91-362</w:t>
            </w:r>
            <w:r>
              <w:rPr>
                <w:rFonts w:cstheme="minorHAnsi"/>
                <w:sz w:val="20"/>
                <w:szCs w:val="20"/>
              </w:rPr>
              <w:t xml:space="preserve"> from </w:t>
            </w:r>
            <w:r w:rsidRPr="00FB3E0E">
              <w:rPr>
                <w:rFonts w:cstheme="minorHAnsi"/>
                <w:sz w:val="20"/>
                <w:szCs w:val="20"/>
              </w:rPr>
              <w:t>1991</w:t>
            </w:r>
            <w:r>
              <w:rPr>
                <w:rFonts w:cstheme="minorHAnsi"/>
                <w:sz w:val="20"/>
                <w:szCs w:val="20"/>
              </w:rPr>
              <w:t xml:space="preserve">; no SEA legislation </w:t>
            </w:r>
          </w:p>
        </w:tc>
      </w:tr>
      <w:tr w:rsidR="00483321" w:rsidRPr="00615099" w14:paraId="75B75F86" w14:textId="77777777" w:rsidTr="00A6304C">
        <w:tc>
          <w:tcPr>
            <w:tcW w:w="1247" w:type="dxa"/>
            <w:vAlign w:val="center"/>
          </w:tcPr>
          <w:p w14:paraId="71630191" w14:textId="77777777" w:rsidR="00483321" w:rsidRPr="002E02A3" w:rsidRDefault="00483321" w:rsidP="00A6304C">
            <w:pPr>
              <w:rPr>
                <w:rFonts w:cstheme="minorHAnsi"/>
                <w:color w:val="000000" w:themeColor="text1"/>
                <w:sz w:val="20"/>
                <w:szCs w:val="20"/>
              </w:rPr>
            </w:pPr>
            <w:r w:rsidRPr="002E02A3">
              <w:rPr>
                <w:rFonts w:eastAsia="Times New Roman" w:cstheme="minorHAnsi"/>
                <w:color w:val="000000" w:themeColor="text1"/>
                <w:sz w:val="20"/>
                <w:szCs w:val="20"/>
              </w:rPr>
              <w:t>Turkey</w:t>
            </w:r>
          </w:p>
        </w:tc>
        <w:tc>
          <w:tcPr>
            <w:tcW w:w="1444" w:type="dxa"/>
            <w:vAlign w:val="center"/>
          </w:tcPr>
          <w:p w14:paraId="7E400C56" w14:textId="77777777" w:rsidR="00483321" w:rsidRPr="00615099" w:rsidRDefault="00483321" w:rsidP="00A6304C">
            <w:pPr>
              <w:jc w:val="center"/>
              <w:rPr>
                <w:rFonts w:eastAsia="Times New Roman" w:cstheme="minorHAnsi"/>
                <w:sz w:val="20"/>
                <w:szCs w:val="20"/>
              </w:rPr>
            </w:pPr>
            <w:r w:rsidRPr="00615099">
              <w:rPr>
                <w:rFonts w:eastAsia="Times New Roman" w:cstheme="minorHAnsi"/>
                <w:sz w:val="20"/>
                <w:szCs w:val="20"/>
              </w:rPr>
              <w:t>-</w:t>
            </w:r>
          </w:p>
        </w:tc>
        <w:tc>
          <w:tcPr>
            <w:tcW w:w="1173" w:type="dxa"/>
            <w:vAlign w:val="center"/>
          </w:tcPr>
          <w:p w14:paraId="7A263866" w14:textId="77777777" w:rsidR="00483321" w:rsidRPr="00615099" w:rsidRDefault="00483321" w:rsidP="00A6304C">
            <w:pPr>
              <w:pStyle w:val="ListParagraph"/>
              <w:ind w:left="0"/>
              <w:jc w:val="center"/>
              <w:rPr>
                <w:rFonts w:cstheme="minorHAnsi"/>
                <w:sz w:val="20"/>
                <w:szCs w:val="20"/>
              </w:rPr>
            </w:pPr>
            <w:r>
              <w:rPr>
                <w:rFonts w:cstheme="minorHAnsi"/>
                <w:sz w:val="20"/>
                <w:szCs w:val="20"/>
              </w:rPr>
              <w:t>-</w:t>
            </w:r>
          </w:p>
        </w:tc>
        <w:tc>
          <w:tcPr>
            <w:tcW w:w="1211" w:type="dxa"/>
            <w:vAlign w:val="center"/>
          </w:tcPr>
          <w:p w14:paraId="274E9652" w14:textId="77777777" w:rsidR="00483321" w:rsidRPr="00615099" w:rsidRDefault="00483321" w:rsidP="00A6304C">
            <w:pPr>
              <w:pStyle w:val="ListParagraph"/>
              <w:ind w:left="0"/>
              <w:jc w:val="center"/>
              <w:rPr>
                <w:rFonts w:cstheme="minorHAnsi"/>
                <w:sz w:val="20"/>
                <w:szCs w:val="20"/>
              </w:rPr>
            </w:pPr>
            <w:r>
              <w:rPr>
                <w:rFonts w:cstheme="minorHAnsi"/>
                <w:sz w:val="20"/>
                <w:szCs w:val="20"/>
              </w:rPr>
              <w:t>-</w:t>
            </w:r>
          </w:p>
        </w:tc>
        <w:tc>
          <w:tcPr>
            <w:tcW w:w="8234" w:type="dxa"/>
          </w:tcPr>
          <w:p w14:paraId="0CE9859C" w14:textId="77777777" w:rsidR="00483321" w:rsidRPr="00615099" w:rsidRDefault="00483321" w:rsidP="00A6304C">
            <w:pPr>
              <w:pStyle w:val="ListParagraph"/>
              <w:ind w:left="0"/>
              <w:rPr>
                <w:rFonts w:cstheme="minorHAnsi"/>
                <w:sz w:val="20"/>
                <w:szCs w:val="20"/>
              </w:rPr>
            </w:pPr>
            <w:r w:rsidRPr="0080466B">
              <w:rPr>
                <w:rFonts w:cstheme="minorHAnsi"/>
                <w:sz w:val="20"/>
                <w:szCs w:val="20"/>
              </w:rPr>
              <w:t>Environment Law 2872</w:t>
            </w:r>
            <w:r>
              <w:rPr>
                <w:rFonts w:cstheme="minorHAnsi"/>
                <w:sz w:val="20"/>
                <w:szCs w:val="20"/>
              </w:rPr>
              <w:t xml:space="preserve"> and EIA B</w:t>
            </w:r>
            <w:r w:rsidRPr="0080466B">
              <w:rPr>
                <w:rFonts w:cstheme="minorHAnsi"/>
                <w:sz w:val="20"/>
                <w:szCs w:val="20"/>
              </w:rPr>
              <w:t>y</w:t>
            </w:r>
            <w:r>
              <w:rPr>
                <w:rFonts w:cstheme="minorHAnsi"/>
                <w:sz w:val="20"/>
                <w:szCs w:val="20"/>
              </w:rPr>
              <w:t>-law (last updated in 2008); information on SEA legislation not available</w:t>
            </w:r>
          </w:p>
        </w:tc>
      </w:tr>
    </w:tbl>
    <w:p w14:paraId="16D89E2E" w14:textId="77777777" w:rsidR="00483321" w:rsidRPr="0002635A" w:rsidRDefault="00483321" w:rsidP="00483321">
      <w:pPr>
        <w:rPr>
          <w:rFonts w:cstheme="minorHAnsi"/>
          <w:sz w:val="20"/>
          <w:szCs w:val="20"/>
        </w:rPr>
      </w:pPr>
      <w:r w:rsidRPr="0002635A">
        <w:rPr>
          <w:rFonts w:eastAsia="Times New Roman" w:cstheme="minorHAnsi"/>
          <w:sz w:val="20"/>
          <w:szCs w:val="20"/>
        </w:rPr>
        <w:t xml:space="preserve">Abbreviations used for the </w:t>
      </w:r>
      <w:r>
        <w:rPr>
          <w:rFonts w:eastAsia="Times New Roman" w:cstheme="minorHAnsi"/>
          <w:sz w:val="20"/>
          <w:szCs w:val="20"/>
        </w:rPr>
        <w:t>status of ratifications</w:t>
      </w:r>
      <w:r w:rsidRPr="0002635A">
        <w:rPr>
          <w:rFonts w:eastAsia="Times New Roman" w:cstheme="minorHAnsi"/>
          <w:sz w:val="20"/>
          <w:szCs w:val="20"/>
        </w:rPr>
        <w:t xml:space="preserve">: </w:t>
      </w:r>
      <w:r w:rsidRPr="0002635A">
        <w:rPr>
          <w:rFonts w:eastAsia="Times New Roman" w:cstheme="minorHAnsi"/>
          <w:sz w:val="20"/>
          <w:szCs w:val="20"/>
        </w:rPr>
        <w:tab/>
      </w:r>
      <w:r w:rsidRPr="0002635A">
        <w:rPr>
          <w:rFonts w:eastAsia="Times New Roman" w:cstheme="minorHAnsi"/>
          <w:sz w:val="20"/>
          <w:szCs w:val="20"/>
        </w:rPr>
        <w:tab/>
        <w:t>Adhesion= AD</w:t>
      </w:r>
      <w:r w:rsidRPr="0002635A">
        <w:rPr>
          <w:rFonts w:eastAsia="Times New Roman" w:cstheme="minorHAnsi"/>
          <w:sz w:val="20"/>
          <w:szCs w:val="20"/>
        </w:rPr>
        <w:tab/>
      </w:r>
      <w:r w:rsidRPr="0002635A">
        <w:rPr>
          <w:rFonts w:eastAsia="Times New Roman" w:cstheme="minorHAnsi"/>
          <w:sz w:val="20"/>
          <w:szCs w:val="20"/>
        </w:rPr>
        <w:tab/>
        <w:t>AC = Accession</w:t>
      </w:r>
      <w:r w:rsidRPr="0002635A">
        <w:rPr>
          <w:rFonts w:eastAsia="Times New Roman" w:cstheme="minorHAnsi"/>
          <w:sz w:val="20"/>
          <w:szCs w:val="20"/>
        </w:rPr>
        <w:tab/>
        <w:t xml:space="preserve"> </w:t>
      </w:r>
      <w:r w:rsidRPr="0002635A">
        <w:rPr>
          <w:rFonts w:eastAsia="Times New Roman" w:cstheme="minorHAnsi"/>
          <w:sz w:val="20"/>
          <w:szCs w:val="20"/>
        </w:rPr>
        <w:tab/>
        <w:t>Approval = AP</w:t>
      </w:r>
      <w:r w:rsidRPr="0002635A">
        <w:rPr>
          <w:rFonts w:eastAsia="Times New Roman" w:cstheme="minorHAnsi"/>
          <w:sz w:val="20"/>
          <w:szCs w:val="20"/>
        </w:rPr>
        <w:tab/>
      </w:r>
      <w:r w:rsidRPr="0002635A">
        <w:rPr>
          <w:rFonts w:eastAsia="Times New Roman" w:cstheme="minorHAnsi"/>
          <w:sz w:val="20"/>
          <w:szCs w:val="20"/>
        </w:rPr>
        <w:tab/>
        <w:t>Ratification = R</w:t>
      </w:r>
      <w:r w:rsidRPr="0002635A">
        <w:rPr>
          <w:rFonts w:eastAsia="Times New Roman" w:cstheme="minorHAnsi"/>
          <w:sz w:val="20"/>
          <w:szCs w:val="20"/>
        </w:rPr>
        <w:tab/>
      </w:r>
      <w:r w:rsidRPr="0002635A">
        <w:rPr>
          <w:rFonts w:eastAsia="Times New Roman" w:cstheme="minorHAnsi"/>
          <w:sz w:val="20"/>
          <w:szCs w:val="20"/>
        </w:rPr>
        <w:tab/>
      </w:r>
    </w:p>
    <w:p w14:paraId="0F38FFFD" w14:textId="77777777" w:rsidR="00D5675C" w:rsidRDefault="00D5675C" w:rsidP="00483321">
      <w:pPr>
        <w:pStyle w:val="ListParagraph"/>
        <w:ind w:left="0"/>
        <w:rPr>
          <w:sz w:val="20"/>
          <w:szCs w:val="20"/>
        </w:rPr>
      </w:pPr>
    </w:p>
    <w:p w14:paraId="3F0B2004" w14:textId="77777777" w:rsidR="00B917DF" w:rsidRDefault="00B917DF" w:rsidP="00483321">
      <w:pPr>
        <w:pStyle w:val="ListParagraph"/>
        <w:ind w:left="0"/>
        <w:rPr>
          <w:sz w:val="20"/>
          <w:szCs w:val="20"/>
        </w:rPr>
        <w:sectPr w:rsidR="00B917DF" w:rsidSect="00B917DF">
          <w:pgSz w:w="16838" w:h="11906" w:orient="landscape"/>
          <w:pgMar w:top="1418" w:right="1418" w:bottom="1418" w:left="1418" w:header="709" w:footer="709" w:gutter="0"/>
          <w:cols w:space="708"/>
          <w:docGrid w:linePitch="360"/>
        </w:sectPr>
      </w:pPr>
    </w:p>
    <w:p w14:paraId="18C14602" w14:textId="6ED01038" w:rsidR="00483321" w:rsidRPr="00E13398" w:rsidRDefault="00483321" w:rsidP="00483321">
      <w:pPr>
        <w:pStyle w:val="ListParagraph"/>
        <w:ind w:left="0"/>
        <w:rPr>
          <w:sz w:val="20"/>
          <w:szCs w:val="20"/>
        </w:rPr>
      </w:pPr>
      <w:r w:rsidRPr="00E13398">
        <w:rPr>
          <w:sz w:val="20"/>
          <w:szCs w:val="20"/>
        </w:rPr>
        <w:lastRenderedPageBreak/>
        <w:t>Sources on the status of ratifications:</w:t>
      </w:r>
    </w:p>
    <w:p w14:paraId="49A77DF0" w14:textId="77777777" w:rsidR="00483321" w:rsidRPr="00E13398" w:rsidRDefault="00483321" w:rsidP="00483321">
      <w:pPr>
        <w:pStyle w:val="ListParagraph"/>
        <w:ind w:left="0"/>
        <w:rPr>
          <w:sz w:val="20"/>
          <w:szCs w:val="20"/>
        </w:rPr>
      </w:pPr>
      <w:r w:rsidRPr="00E13398">
        <w:rPr>
          <w:sz w:val="20"/>
          <w:szCs w:val="20"/>
        </w:rPr>
        <w:t xml:space="preserve">ICZM Protocol:  </w:t>
      </w:r>
      <w:hyperlink r:id="rId11" w:history="1">
        <w:r w:rsidRPr="00E13398">
          <w:rPr>
            <w:rStyle w:val="Hyperlink"/>
            <w:sz w:val="20"/>
            <w:szCs w:val="20"/>
          </w:rPr>
          <w:t>http://web.unep.org/unepmap/who-we-are/legal-framework/status-signatures-and-ratifications</w:t>
        </w:r>
      </w:hyperlink>
      <w:r w:rsidRPr="00E13398">
        <w:rPr>
          <w:sz w:val="20"/>
          <w:szCs w:val="20"/>
        </w:rPr>
        <w:t xml:space="preserve"> (accessed on 22 February 2019)</w:t>
      </w:r>
    </w:p>
    <w:p w14:paraId="39973768" w14:textId="77777777" w:rsidR="00483321" w:rsidRPr="00E13398" w:rsidRDefault="00483321" w:rsidP="00483321">
      <w:pPr>
        <w:pStyle w:val="ListParagraph"/>
        <w:ind w:left="0"/>
        <w:rPr>
          <w:sz w:val="20"/>
          <w:szCs w:val="20"/>
        </w:rPr>
      </w:pPr>
      <w:r w:rsidRPr="00E13398">
        <w:rPr>
          <w:sz w:val="20"/>
          <w:szCs w:val="20"/>
        </w:rPr>
        <w:t xml:space="preserve">Espoo Convention: </w:t>
      </w:r>
      <w:hyperlink r:id="rId12" w:history="1">
        <w:r w:rsidRPr="00E13398">
          <w:rPr>
            <w:rStyle w:val="Hyperlink"/>
            <w:sz w:val="20"/>
            <w:szCs w:val="20"/>
          </w:rPr>
          <w:t>https://treaties.un.org/Pages/ViewDetails.aspx?src=TREATY&amp;mtdsg_no=XXVII-4&amp;chapter=27&amp;clang=_en</w:t>
        </w:r>
      </w:hyperlink>
      <w:r w:rsidRPr="00E13398">
        <w:rPr>
          <w:sz w:val="20"/>
          <w:szCs w:val="20"/>
        </w:rPr>
        <w:t xml:space="preserve"> (accessed on 22 February 2019)</w:t>
      </w:r>
    </w:p>
    <w:p w14:paraId="793554BD" w14:textId="77777777" w:rsidR="00483321" w:rsidRPr="00E13398" w:rsidRDefault="00483321" w:rsidP="00483321">
      <w:pPr>
        <w:pStyle w:val="ListParagraph"/>
        <w:ind w:left="0"/>
        <w:rPr>
          <w:sz w:val="20"/>
          <w:szCs w:val="20"/>
        </w:rPr>
      </w:pPr>
      <w:r w:rsidRPr="00E13398">
        <w:rPr>
          <w:sz w:val="20"/>
          <w:szCs w:val="20"/>
        </w:rPr>
        <w:t xml:space="preserve">Kiev Protocol: </w:t>
      </w:r>
      <w:hyperlink r:id="rId13" w:history="1">
        <w:r w:rsidRPr="00E13398">
          <w:rPr>
            <w:rStyle w:val="Hyperlink"/>
            <w:sz w:val="20"/>
            <w:szCs w:val="20"/>
          </w:rPr>
          <w:t>https://treaties.un.org/Pages/ViewDetails.aspx?src=TREATY&amp;mtdsg_no=XXVII-4-b&amp;chapter=27&amp;clang=_en</w:t>
        </w:r>
      </w:hyperlink>
      <w:r w:rsidRPr="00E13398">
        <w:rPr>
          <w:sz w:val="20"/>
          <w:szCs w:val="20"/>
        </w:rPr>
        <w:t xml:space="preserve"> (accessed on 22 February 2019)</w:t>
      </w:r>
    </w:p>
    <w:p w14:paraId="0E00CD33" w14:textId="77777777" w:rsidR="00483321" w:rsidRPr="00E13398" w:rsidRDefault="00483321" w:rsidP="00483321">
      <w:pPr>
        <w:pStyle w:val="ListParagraph"/>
        <w:ind w:left="0"/>
        <w:rPr>
          <w:sz w:val="20"/>
          <w:szCs w:val="20"/>
        </w:rPr>
      </w:pPr>
    </w:p>
    <w:p w14:paraId="4FCCDECA" w14:textId="77777777" w:rsidR="00483321" w:rsidRPr="005A000D" w:rsidRDefault="00483321" w:rsidP="00483321">
      <w:pPr>
        <w:pStyle w:val="ListParagraph"/>
        <w:ind w:left="0"/>
        <w:rPr>
          <w:sz w:val="20"/>
          <w:szCs w:val="20"/>
          <w:lang w:val="fr-FR"/>
        </w:rPr>
      </w:pPr>
      <w:proofErr w:type="spellStart"/>
      <w:r w:rsidRPr="005A000D">
        <w:rPr>
          <w:sz w:val="20"/>
          <w:szCs w:val="20"/>
          <w:lang w:val="fr-FR"/>
        </w:rPr>
        <w:t>Other</w:t>
      </w:r>
      <w:proofErr w:type="spellEnd"/>
      <w:r w:rsidRPr="005A000D">
        <w:rPr>
          <w:sz w:val="20"/>
          <w:szCs w:val="20"/>
          <w:lang w:val="fr-FR"/>
        </w:rPr>
        <w:t xml:space="preserve"> </w:t>
      </w:r>
      <w:proofErr w:type="gramStart"/>
      <w:r w:rsidRPr="005A000D">
        <w:rPr>
          <w:sz w:val="20"/>
          <w:szCs w:val="20"/>
          <w:lang w:val="fr-FR"/>
        </w:rPr>
        <w:t>sources:</w:t>
      </w:r>
      <w:proofErr w:type="gramEnd"/>
      <w:r w:rsidRPr="005A000D">
        <w:rPr>
          <w:sz w:val="20"/>
          <w:szCs w:val="20"/>
          <w:lang w:val="fr-FR"/>
        </w:rPr>
        <w:t xml:space="preserve"> </w:t>
      </w:r>
    </w:p>
    <w:p w14:paraId="018BCD3E" w14:textId="77777777" w:rsidR="00483321" w:rsidRPr="005A000D" w:rsidRDefault="00483321" w:rsidP="00483321">
      <w:pPr>
        <w:pStyle w:val="ListParagraph"/>
        <w:ind w:left="0"/>
        <w:rPr>
          <w:sz w:val="20"/>
          <w:szCs w:val="20"/>
          <w:lang w:val="fr-FR"/>
        </w:rPr>
      </w:pPr>
      <w:r w:rsidRPr="005A000D">
        <w:rPr>
          <w:sz w:val="20"/>
          <w:szCs w:val="20"/>
          <w:lang w:val="fr-FR"/>
        </w:rPr>
        <w:t xml:space="preserve">Barcelona Convention National </w:t>
      </w:r>
      <w:proofErr w:type="spellStart"/>
      <w:r w:rsidRPr="005A000D">
        <w:rPr>
          <w:sz w:val="20"/>
          <w:szCs w:val="20"/>
          <w:lang w:val="fr-FR"/>
        </w:rPr>
        <w:t>Implementation</w:t>
      </w:r>
      <w:proofErr w:type="spellEnd"/>
      <w:r w:rsidRPr="005A000D">
        <w:rPr>
          <w:sz w:val="20"/>
          <w:szCs w:val="20"/>
          <w:lang w:val="fr-FR"/>
        </w:rPr>
        <w:t xml:space="preserve"> </w:t>
      </w:r>
      <w:r w:rsidR="00CF3129" w:rsidRPr="005A000D">
        <w:rPr>
          <w:sz w:val="20"/>
          <w:szCs w:val="20"/>
          <w:lang w:val="fr-FR"/>
        </w:rPr>
        <w:t>R</w:t>
      </w:r>
      <w:r w:rsidRPr="005A000D">
        <w:rPr>
          <w:sz w:val="20"/>
          <w:szCs w:val="20"/>
          <w:lang w:val="fr-FR"/>
        </w:rPr>
        <w:t xml:space="preserve">eports </w:t>
      </w:r>
    </w:p>
    <w:p w14:paraId="6B4D7F8A" w14:textId="77777777" w:rsidR="00483321" w:rsidRPr="00E13398" w:rsidRDefault="00483321" w:rsidP="00483321">
      <w:pPr>
        <w:pStyle w:val="ListParagraph"/>
        <w:ind w:left="0"/>
        <w:rPr>
          <w:sz w:val="20"/>
          <w:szCs w:val="20"/>
        </w:rPr>
      </w:pPr>
      <w:r w:rsidRPr="00E13398">
        <w:rPr>
          <w:sz w:val="20"/>
          <w:szCs w:val="20"/>
        </w:rPr>
        <w:t>Communication (March 2019) with PAP/RAC Focal Points for non-UNECE countries</w:t>
      </w:r>
    </w:p>
    <w:p w14:paraId="1722BDEF" w14:textId="77777777" w:rsidR="00483321" w:rsidRDefault="00483321" w:rsidP="00483321">
      <w:pPr>
        <w:pStyle w:val="ListParagraph"/>
        <w:ind w:left="0"/>
        <w:rPr>
          <w:sz w:val="20"/>
          <w:szCs w:val="20"/>
        </w:rPr>
      </w:pPr>
      <w:r w:rsidRPr="00E13398">
        <w:rPr>
          <w:sz w:val="20"/>
          <w:szCs w:val="20"/>
        </w:rPr>
        <w:t xml:space="preserve">Website of the Ministry of Tourism and Environment of Albania: </w:t>
      </w:r>
      <w:hyperlink r:id="rId14" w:history="1">
        <w:r w:rsidRPr="00E13398">
          <w:rPr>
            <w:rStyle w:val="Hyperlink"/>
            <w:sz w:val="20"/>
            <w:szCs w:val="20"/>
          </w:rPr>
          <w:t>https://www.turizmi.gov.al/2013-2/</w:t>
        </w:r>
      </w:hyperlink>
      <w:r w:rsidRPr="00E13398">
        <w:rPr>
          <w:sz w:val="20"/>
          <w:szCs w:val="20"/>
        </w:rPr>
        <w:t xml:space="preserve"> (accessed on 20 March 2019)</w:t>
      </w:r>
    </w:p>
    <w:p w14:paraId="42CAA3E3" w14:textId="77777777" w:rsidR="00347274" w:rsidRDefault="00347274">
      <w:pPr>
        <w:rPr>
          <w:sz w:val="20"/>
          <w:szCs w:val="20"/>
        </w:rPr>
      </w:pPr>
    </w:p>
    <w:p w14:paraId="7DA60CD0" w14:textId="43F7F447" w:rsidR="00347274" w:rsidRPr="00347274" w:rsidRDefault="00347274" w:rsidP="00347274">
      <w:pPr>
        <w:spacing w:after="0" w:line="240" w:lineRule="auto"/>
        <w:rPr>
          <w:i/>
          <w:color w:val="1F4E79" w:themeColor="accent1" w:themeShade="80"/>
          <w:sz w:val="20"/>
          <w:szCs w:val="20"/>
        </w:rPr>
      </w:pPr>
      <w:r w:rsidRPr="00347274">
        <w:rPr>
          <w:i/>
          <w:color w:val="1F4E79" w:themeColor="accent1" w:themeShade="80"/>
          <w:sz w:val="20"/>
          <w:szCs w:val="20"/>
        </w:rPr>
        <w:t xml:space="preserve">Box </w:t>
      </w:r>
      <w:r>
        <w:rPr>
          <w:i/>
          <w:color w:val="1F4E79" w:themeColor="accent1" w:themeShade="80"/>
          <w:sz w:val="20"/>
          <w:szCs w:val="20"/>
        </w:rPr>
        <w:fldChar w:fldCharType="begin"/>
      </w:r>
      <w:r>
        <w:rPr>
          <w:i/>
          <w:color w:val="1F4E79" w:themeColor="accent1" w:themeShade="80"/>
          <w:sz w:val="20"/>
          <w:szCs w:val="20"/>
        </w:rPr>
        <w:instrText xml:space="preserve"> STYLEREF 1 \s </w:instrText>
      </w:r>
      <w:r>
        <w:rPr>
          <w:i/>
          <w:color w:val="1F4E79" w:themeColor="accent1" w:themeShade="80"/>
          <w:sz w:val="20"/>
          <w:szCs w:val="20"/>
        </w:rPr>
        <w:fldChar w:fldCharType="separate"/>
      </w:r>
      <w:r w:rsidR="005A000D">
        <w:rPr>
          <w:i/>
          <w:noProof/>
          <w:color w:val="1F4E79" w:themeColor="accent1" w:themeShade="80"/>
          <w:sz w:val="20"/>
          <w:szCs w:val="20"/>
        </w:rPr>
        <w:t>4</w:t>
      </w:r>
      <w:r>
        <w:rPr>
          <w:i/>
          <w:color w:val="1F4E79" w:themeColor="accent1" w:themeShade="80"/>
          <w:sz w:val="20"/>
          <w:szCs w:val="20"/>
        </w:rPr>
        <w:fldChar w:fldCharType="end"/>
      </w:r>
      <w:r>
        <w:rPr>
          <w:i/>
          <w:color w:val="1F4E79" w:themeColor="accent1" w:themeShade="80"/>
          <w:sz w:val="20"/>
          <w:szCs w:val="20"/>
        </w:rPr>
        <w:noBreakHyphen/>
      </w:r>
      <w:r>
        <w:rPr>
          <w:i/>
          <w:color w:val="1F4E79" w:themeColor="accent1" w:themeShade="80"/>
          <w:sz w:val="20"/>
          <w:szCs w:val="20"/>
        </w:rPr>
        <w:fldChar w:fldCharType="begin"/>
      </w:r>
      <w:r>
        <w:rPr>
          <w:i/>
          <w:color w:val="1F4E79" w:themeColor="accent1" w:themeShade="80"/>
          <w:sz w:val="20"/>
          <w:szCs w:val="20"/>
        </w:rPr>
        <w:instrText xml:space="preserve"> SEQ Box \* ARABIC \s 1 </w:instrText>
      </w:r>
      <w:r>
        <w:rPr>
          <w:i/>
          <w:color w:val="1F4E79" w:themeColor="accent1" w:themeShade="80"/>
          <w:sz w:val="20"/>
          <w:szCs w:val="20"/>
        </w:rPr>
        <w:fldChar w:fldCharType="separate"/>
      </w:r>
      <w:r w:rsidR="005A000D">
        <w:rPr>
          <w:i/>
          <w:noProof/>
          <w:color w:val="1F4E79" w:themeColor="accent1" w:themeShade="80"/>
          <w:sz w:val="20"/>
          <w:szCs w:val="20"/>
        </w:rPr>
        <w:t>3</w:t>
      </w:r>
      <w:r>
        <w:rPr>
          <w:i/>
          <w:color w:val="1F4E79" w:themeColor="accent1" w:themeShade="80"/>
          <w:sz w:val="20"/>
          <w:szCs w:val="20"/>
        </w:rPr>
        <w:fldChar w:fldCharType="end"/>
      </w:r>
      <w:r w:rsidRPr="00347274">
        <w:rPr>
          <w:i/>
          <w:color w:val="1F4E79" w:themeColor="accent1" w:themeShade="80"/>
          <w:sz w:val="20"/>
          <w:szCs w:val="20"/>
        </w:rPr>
        <w:t xml:space="preserve">: SEA and EIA for the extension of </w:t>
      </w:r>
      <w:proofErr w:type="spellStart"/>
      <w:r w:rsidRPr="00347274">
        <w:rPr>
          <w:i/>
          <w:color w:val="1F4E79" w:themeColor="accent1" w:themeShade="80"/>
          <w:sz w:val="20"/>
          <w:szCs w:val="20"/>
        </w:rPr>
        <w:t>Karavanke</w:t>
      </w:r>
      <w:proofErr w:type="spellEnd"/>
      <w:r w:rsidRPr="00347274">
        <w:rPr>
          <w:i/>
          <w:color w:val="1F4E79" w:themeColor="accent1" w:themeShade="80"/>
          <w:sz w:val="20"/>
          <w:szCs w:val="20"/>
        </w:rPr>
        <w:t xml:space="preserve"> tunnel </w:t>
      </w:r>
    </w:p>
    <w:tbl>
      <w:tblPr>
        <w:tblStyle w:val="TableGrid"/>
        <w:tblW w:w="0" w:type="auto"/>
        <w:tblLook w:val="04A0" w:firstRow="1" w:lastRow="0" w:firstColumn="1" w:lastColumn="0" w:noHBand="0" w:noVBand="1"/>
      </w:tblPr>
      <w:tblGrid>
        <w:gridCol w:w="9060"/>
      </w:tblGrid>
      <w:tr w:rsidR="00347274" w14:paraId="3CD75181" w14:textId="77777777" w:rsidTr="00347274">
        <w:tc>
          <w:tcPr>
            <w:tcW w:w="9060" w:type="dxa"/>
          </w:tcPr>
          <w:p w14:paraId="66467A93" w14:textId="77777777" w:rsidR="00347274" w:rsidRPr="00841227" w:rsidRDefault="00347274" w:rsidP="00346133">
            <w:pPr>
              <w:rPr>
                <w:sz w:val="20"/>
                <w:szCs w:val="20"/>
              </w:rPr>
            </w:pPr>
            <w:r w:rsidRPr="00841227">
              <w:rPr>
                <w:sz w:val="20"/>
                <w:szCs w:val="20"/>
              </w:rPr>
              <w:t xml:space="preserve">The existing </w:t>
            </w:r>
            <w:proofErr w:type="spellStart"/>
            <w:r w:rsidRPr="00841227">
              <w:rPr>
                <w:sz w:val="20"/>
                <w:szCs w:val="20"/>
              </w:rPr>
              <w:t>Karavanke</w:t>
            </w:r>
            <w:proofErr w:type="spellEnd"/>
            <w:r w:rsidRPr="00841227">
              <w:rPr>
                <w:sz w:val="20"/>
                <w:szCs w:val="20"/>
              </w:rPr>
              <w:t xml:space="preserve"> tunnel on the A2 motorway connecting Slovenia and Austria is in operation since 1991. Due to increased traffic volumes and safety issues, extension of the tunnel is planned. The extension was included in the national spatial plan of Slovenia, for which a strategic environmental assessment was prepared; environmental impact assessment was carried out for the project itself. Transboundary cooperation between Austrian and Slovenia authorities carried on throughout each SEA and EIA phase. Cooperation on administrative matters was established through the Espoo Convention focal points. </w:t>
            </w:r>
          </w:p>
          <w:p w14:paraId="38D952B6" w14:textId="77777777" w:rsidR="00347274" w:rsidRPr="00841227" w:rsidRDefault="00347274" w:rsidP="00346133">
            <w:pPr>
              <w:rPr>
                <w:sz w:val="20"/>
                <w:szCs w:val="20"/>
              </w:rPr>
            </w:pPr>
          </w:p>
          <w:p w14:paraId="0446ECE2" w14:textId="77777777" w:rsidR="00347274" w:rsidRPr="00841227" w:rsidRDefault="00347274" w:rsidP="00346133">
            <w:pPr>
              <w:rPr>
                <w:sz w:val="20"/>
                <w:szCs w:val="20"/>
              </w:rPr>
            </w:pPr>
            <w:r w:rsidRPr="00841227">
              <w:rPr>
                <w:sz w:val="20"/>
                <w:szCs w:val="20"/>
              </w:rPr>
              <w:t>Slovenia sent notification and Austria promptly confirmed its participation in transboundary procedure</w:t>
            </w:r>
            <w:r>
              <w:rPr>
                <w:sz w:val="20"/>
                <w:szCs w:val="20"/>
              </w:rPr>
              <w:t>s</w:t>
            </w:r>
            <w:r w:rsidRPr="00841227">
              <w:rPr>
                <w:sz w:val="20"/>
                <w:szCs w:val="20"/>
              </w:rPr>
              <w:t xml:space="preserve">. Consultations comprised both discussions between the ministries and relevant organisations of the two countries lasting two months, and a public debate on both sides of the border lasting one month. Comments and observations were sent to the country of origin (Slovenia) to be taken into account in final decision-making.  </w:t>
            </w:r>
          </w:p>
          <w:p w14:paraId="2FFA48A2" w14:textId="77777777" w:rsidR="00347274" w:rsidRPr="00841227" w:rsidRDefault="00347274" w:rsidP="00346133">
            <w:pPr>
              <w:rPr>
                <w:sz w:val="20"/>
                <w:szCs w:val="20"/>
              </w:rPr>
            </w:pPr>
            <w:r w:rsidRPr="00841227">
              <w:rPr>
                <w:sz w:val="20"/>
                <w:szCs w:val="20"/>
              </w:rPr>
              <w:t xml:space="preserve"> </w:t>
            </w:r>
          </w:p>
          <w:p w14:paraId="2FC140F9" w14:textId="77777777" w:rsidR="00347274" w:rsidRPr="00841227" w:rsidRDefault="00347274" w:rsidP="00346133">
            <w:pPr>
              <w:rPr>
                <w:sz w:val="20"/>
                <w:szCs w:val="20"/>
              </w:rPr>
            </w:pPr>
            <w:r w:rsidRPr="00841227">
              <w:rPr>
                <w:sz w:val="20"/>
                <w:szCs w:val="20"/>
              </w:rPr>
              <w:t xml:space="preserve">Interdisciplinary teams were organised in both countries to consider possible impacts, mitigation measures and monitoring. Efforts were made to mobilise all the relevant expertise and available data. At the end of the SEA process, the decision was sent to Austria. In the EIA process, additional technical consultations were needed to improve and harmonise monitoring to be carried out during construction of the tunnel. Proposal of the monitoring programme was sent to Austria and following discussions among experts, improvements were agreed upon as regards frequency, timing and chemical parameters to be monitored. </w:t>
            </w:r>
            <w:r>
              <w:rPr>
                <w:sz w:val="20"/>
                <w:szCs w:val="20"/>
              </w:rPr>
              <w:t xml:space="preserve">The </w:t>
            </w:r>
            <w:r w:rsidRPr="00841227">
              <w:rPr>
                <w:sz w:val="20"/>
                <w:szCs w:val="20"/>
              </w:rPr>
              <w:t>EIA conclusion</w:t>
            </w:r>
            <w:r>
              <w:rPr>
                <w:sz w:val="20"/>
                <w:szCs w:val="20"/>
              </w:rPr>
              <w:t>s</w:t>
            </w:r>
            <w:r w:rsidRPr="00841227">
              <w:rPr>
                <w:sz w:val="20"/>
                <w:szCs w:val="20"/>
              </w:rPr>
              <w:t xml:space="preserve"> and related elaborations were then sent to Austria, and following an agreement of both sides, the final decision was made.  </w:t>
            </w:r>
          </w:p>
          <w:p w14:paraId="23E66D4C" w14:textId="77777777" w:rsidR="00347274" w:rsidRPr="00841227" w:rsidRDefault="00347274" w:rsidP="00346133">
            <w:pPr>
              <w:rPr>
                <w:sz w:val="20"/>
                <w:szCs w:val="20"/>
              </w:rPr>
            </w:pPr>
          </w:p>
          <w:p w14:paraId="3D493732" w14:textId="73175E90" w:rsidR="00347274" w:rsidRPr="00347274" w:rsidRDefault="00347274" w:rsidP="00346133">
            <w:pPr>
              <w:rPr>
                <w:sz w:val="20"/>
                <w:szCs w:val="20"/>
              </w:rPr>
            </w:pPr>
            <w:r w:rsidRPr="00841227">
              <w:rPr>
                <w:sz w:val="20"/>
                <w:szCs w:val="20"/>
              </w:rPr>
              <w:t xml:space="preserve">The transboundary SEA/ EIA procedures conducted for the extension of </w:t>
            </w:r>
            <w:proofErr w:type="spellStart"/>
            <w:r w:rsidRPr="00841227">
              <w:rPr>
                <w:sz w:val="20"/>
                <w:szCs w:val="20"/>
              </w:rPr>
              <w:t>Karavanke</w:t>
            </w:r>
            <w:proofErr w:type="spellEnd"/>
            <w:r w:rsidRPr="00841227">
              <w:rPr>
                <w:sz w:val="20"/>
                <w:szCs w:val="20"/>
              </w:rPr>
              <w:t xml:space="preserve"> tunnel showed good cooperation between focal points was very important to manage the process effectively. The example also showcases how engagement of interdisciplinary teams on both sides of the border can help to address the critical points and to find adequate solutions.</w:t>
            </w:r>
          </w:p>
        </w:tc>
      </w:tr>
    </w:tbl>
    <w:p w14:paraId="10538126" w14:textId="77777777" w:rsidR="00347274" w:rsidRDefault="00347274" w:rsidP="00347274">
      <w:pPr>
        <w:pStyle w:val="Caption"/>
        <w:spacing w:after="0"/>
        <w:rPr>
          <w:i w:val="0"/>
          <w:color w:val="000000" w:themeColor="text1"/>
          <w:sz w:val="20"/>
          <w:szCs w:val="20"/>
        </w:rPr>
      </w:pPr>
      <w:r w:rsidRPr="00347274">
        <w:rPr>
          <w:i w:val="0"/>
          <w:color w:val="000000" w:themeColor="text1"/>
          <w:sz w:val="20"/>
          <w:szCs w:val="20"/>
        </w:rPr>
        <w:t xml:space="preserve">Source: Croatian Association of Experts in Nature and Environmental Protection (2017), Book of Abstracts: Third Regional Conference on Environmental Impact Assessment; the author of the case study is Vesna Kolar </w:t>
      </w:r>
      <w:proofErr w:type="spellStart"/>
      <w:r w:rsidRPr="00347274">
        <w:rPr>
          <w:i w:val="0"/>
          <w:color w:val="000000" w:themeColor="text1"/>
          <w:sz w:val="20"/>
          <w:szCs w:val="20"/>
        </w:rPr>
        <w:t>Planinsic</w:t>
      </w:r>
      <w:proofErr w:type="spellEnd"/>
      <w:r w:rsidRPr="00347274">
        <w:rPr>
          <w:i w:val="0"/>
          <w:color w:val="000000" w:themeColor="text1"/>
          <w:sz w:val="20"/>
          <w:szCs w:val="20"/>
        </w:rPr>
        <w:t xml:space="preserve">, Espoo Convention Focal Point in the Ministry of Environment and Spatial Planning of Slovenia </w:t>
      </w:r>
    </w:p>
    <w:p w14:paraId="6152842E" w14:textId="77777777" w:rsidR="00347274" w:rsidRDefault="00347274" w:rsidP="00347274">
      <w:pPr>
        <w:pStyle w:val="Caption"/>
        <w:spacing w:after="0"/>
        <w:rPr>
          <w:i w:val="0"/>
          <w:color w:val="000000" w:themeColor="text1"/>
          <w:sz w:val="20"/>
          <w:szCs w:val="20"/>
        </w:rPr>
      </w:pPr>
    </w:p>
    <w:p w14:paraId="0F6F10EE" w14:textId="77777777" w:rsidR="00144110" w:rsidRPr="00615099" w:rsidRDefault="00144110" w:rsidP="00144110">
      <w:pPr>
        <w:pStyle w:val="Heading1"/>
      </w:pPr>
      <w:bookmarkStart w:id="9" w:name="_Toc5308779"/>
      <w:r w:rsidRPr="008652FC">
        <w:t>Transboundary environmental assessments: tools to improve cooperation and contribute to sustainable development in the Mediterranean</w:t>
      </w:r>
      <w:bookmarkEnd w:id="9"/>
    </w:p>
    <w:p w14:paraId="32E92A92" w14:textId="77777777" w:rsidR="00D04AB5" w:rsidRDefault="00D04AB5" w:rsidP="008E5DEC">
      <w:pPr>
        <w:pStyle w:val="NormalWeb"/>
        <w:spacing w:before="0" w:beforeAutospacing="0" w:after="0" w:afterAutospacing="0"/>
        <w:rPr>
          <w:rFonts w:asciiTheme="minorHAnsi" w:hAnsiTheme="minorHAnsi" w:cstheme="minorHAnsi"/>
          <w:color w:val="000000" w:themeColor="text1"/>
          <w:sz w:val="22"/>
          <w:szCs w:val="22"/>
        </w:rPr>
      </w:pPr>
    </w:p>
    <w:p w14:paraId="3612DEAF" w14:textId="77777777" w:rsidR="008E5DEC" w:rsidRDefault="002D4CE0" w:rsidP="008E5DEC">
      <w:pPr>
        <w:pStyle w:val="NormalWeb"/>
        <w:spacing w:before="0" w:beforeAutospacing="0" w:after="0" w:afterAutospacing="0"/>
        <w:rPr>
          <w:rFonts w:asciiTheme="minorHAnsi" w:hAnsiTheme="minorHAnsi" w:cstheme="minorHAnsi"/>
          <w:color w:val="000000" w:themeColor="text1"/>
          <w:sz w:val="22"/>
          <w:szCs w:val="22"/>
        </w:rPr>
      </w:pPr>
      <w:r w:rsidRPr="008E5DEC">
        <w:rPr>
          <w:rFonts w:asciiTheme="minorHAnsi" w:hAnsiTheme="minorHAnsi" w:cstheme="minorHAnsi"/>
          <w:color w:val="000000" w:themeColor="text1"/>
          <w:sz w:val="22"/>
          <w:szCs w:val="22"/>
        </w:rPr>
        <w:t xml:space="preserve">Both </w:t>
      </w:r>
      <w:r w:rsidR="00D16FC3">
        <w:rPr>
          <w:rFonts w:asciiTheme="minorHAnsi" w:hAnsiTheme="minorHAnsi" w:cstheme="minorHAnsi"/>
          <w:color w:val="000000" w:themeColor="text1"/>
          <w:sz w:val="22"/>
          <w:szCs w:val="22"/>
        </w:rPr>
        <w:t xml:space="preserve">SEA and </w:t>
      </w:r>
      <w:r w:rsidRPr="008E5DEC">
        <w:rPr>
          <w:rFonts w:asciiTheme="minorHAnsi" w:hAnsiTheme="minorHAnsi" w:cstheme="minorHAnsi"/>
          <w:color w:val="000000" w:themeColor="text1"/>
          <w:sz w:val="22"/>
          <w:szCs w:val="22"/>
        </w:rPr>
        <w:t>EIA effectively promote sustainable development by mainstreaming the environment into economic development and by integrating environmental issues into strategic and project-related decision</w:t>
      </w:r>
      <w:r w:rsidR="00E20284">
        <w:rPr>
          <w:rFonts w:asciiTheme="minorHAnsi" w:hAnsiTheme="minorHAnsi" w:cstheme="minorHAnsi"/>
          <w:color w:val="000000" w:themeColor="text1"/>
          <w:sz w:val="22"/>
          <w:szCs w:val="22"/>
        </w:rPr>
        <w:t>-</w:t>
      </w:r>
      <w:r w:rsidRPr="008E5DEC">
        <w:rPr>
          <w:rFonts w:asciiTheme="minorHAnsi" w:hAnsiTheme="minorHAnsi" w:cstheme="minorHAnsi"/>
          <w:color w:val="000000" w:themeColor="text1"/>
          <w:sz w:val="22"/>
          <w:szCs w:val="22"/>
        </w:rPr>
        <w:t xml:space="preserve">making. </w:t>
      </w:r>
      <w:r w:rsidR="006B68D6" w:rsidRPr="008E5DEC">
        <w:rPr>
          <w:rFonts w:asciiTheme="minorHAnsi" w:hAnsiTheme="minorHAnsi" w:cstheme="minorHAnsi"/>
          <w:color w:val="333333"/>
          <w:sz w:val="22"/>
          <w:szCs w:val="22"/>
        </w:rPr>
        <w:t>Wide consultation</w:t>
      </w:r>
      <w:r w:rsidR="00D16FC3">
        <w:rPr>
          <w:rFonts w:asciiTheme="minorHAnsi" w:hAnsiTheme="minorHAnsi" w:cstheme="minorHAnsi"/>
          <w:color w:val="333333"/>
          <w:sz w:val="22"/>
          <w:szCs w:val="22"/>
        </w:rPr>
        <w:t>s</w:t>
      </w:r>
      <w:r w:rsidR="006B68D6" w:rsidRPr="008E5DEC">
        <w:rPr>
          <w:rFonts w:asciiTheme="minorHAnsi" w:hAnsiTheme="minorHAnsi" w:cstheme="minorHAnsi"/>
          <w:color w:val="333333"/>
          <w:sz w:val="22"/>
          <w:szCs w:val="22"/>
        </w:rPr>
        <w:t xml:space="preserve"> of relevant authorities and the public, including </w:t>
      </w:r>
      <w:r w:rsidR="008E5DEC">
        <w:rPr>
          <w:rFonts w:asciiTheme="minorHAnsi" w:hAnsiTheme="minorHAnsi" w:cstheme="minorHAnsi"/>
          <w:color w:val="333333"/>
          <w:sz w:val="22"/>
          <w:szCs w:val="22"/>
        </w:rPr>
        <w:t xml:space="preserve">in the countries </w:t>
      </w:r>
      <w:r w:rsidR="006B68D6" w:rsidRPr="008E5DEC">
        <w:rPr>
          <w:rFonts w:asciiTheme="minorHAnsi" w:hAnsiTheme="minorHAnsi" w:cstheme="minorHAnsi"/>
          <w:color w:val="333333"/>
          <w:sz w:val="22"/>
          <w:szCs w:val="22"/>
        </w:rPr>
        <w:t xml:space="preserve">that may be affected by </w:t>
      </w:r>
      <w:r w:rsidR="00F871CB">
        <w:rPr>
          <w:rFonts w:asciiTheme="minorHAnsi" w:hAnsiTheme="minorHAnsi" w:cstheme="minorHAnsi"/>
          <w:color w:val="333333"/>
          <w:sz w:val="22"/>
          <w:szCs w:val="22"/>
        </w:rPr>
        <w:t xml:space="preserve">cross-border </w:t>
      </w:r>
      <w:r w:rsidR="006B68D6" w:rsidRPr="008E5DEC">
        <w:rPr>
          <w:rFonts w:asciiTheme="minorHAnsi" w:hAnsiTheme="minorHAnsi" w:cstheme="minorHAnsi"/>
          <w:color w:val="333333"/>
          <w:sz w:val="22"/>
          <w:szCs w:val="22"/>
        </w:rPr>
        <w:t xml:space="preserve">impacts of proposed projects, plans or programmes, </w:t>
      </w:r>
      <w:r w:rsidR="006B68D6" w:rsidRPr="008E5DEC">
        <w:rPr>
          <w:rFonts w:asciiTheme="minorHAnsi" w:hAnsiTheme="minorHAnsi" w:cstheme="minorHAnsi"/>
          <w:color w:val="333333"/>
          <w:sz w:val="22"/>
          <w:szCs w:val="22"/>
        </w:rPr>
        <w:lastRenderedPageBreak/>
        <w:t xml:space="preserve">are </w:t>
      </w:r>
      <w:r w:rsidR="008E5DEC">
        <w:rPr>
          <w:rFonts w:asciiTheme="minorHAnsi" w:hAnsiTheme="minorHAnsi" w:cstheme="minorHAnsi"/>
          <w:color w:val="333333"/>
          <w:sz w:val="22"/>
          <w:szCs w:val="22"/>
        </w:rPr>
        <w:t xml:space="preserve">the </w:t>
      </w:r>
      <w:r w:rsidR="006B68D6" w:rsidRPr="008E5DEC">
        <w:rPr>
          <w:rFonts w:asciiTheme="minorHAnsi" w:hAnsiTheme="minorHAnsi" w:cstheme="minorHAnsi"/>
          <w:color w:val="333333"/>
          <w:sz w:val="22"/>
          <w:szCs w:val="22"/>
        </w:rPr>
        <w:t xml:space="preserve">key features of EIA and SEA procedures. </w:t>
      </w:r>
      <w:r w:rsidR="009561D8" w:rsidRPr="008E5DEC">
        <w:rPr>
          <w:rFonts w:asciiTheme="minorHAnsi" w:hAnsiTheme="minorHAnsi" w:cstheme="minorHAnsi"/>
          <w:color w:val="000000" w:themeColor="text1"/>
          <w:sz w:val="22"/>
          <w:szCs w:val="22"/>
        </w:rPr>
        <w:t>Practical experiences with the application of these instruments show they often lead to better solutions</w:t>
      </w:r>
      <w:r w:rsidR="008E5DEC">
        <w:rPr>
          <w:rFonts w:asciiTheme="minorHAnsi" w:hAnsiTheme="minorHAnsi" w:cstheme="minorHAnsi"/>
          <w:color w:val="000000" w:themeColor="text1"/>
          <w:sz w:val="22"/>
          <w:szCs w:val="22"/>
        </w:rPr>
        <w:t xml:space="preserve"> and improve public acceptance of/ support for the proposed </w:t>
      </w:r>
      <w:r w:rsidR="0089721B">
        <w:rPr>
          <w:rFonts w:asciiTheme="minorHAnsi" w:hAnsiTheme="minorHAnsi" w:cstheme="minorHAnsi"/>
          <w:color w:val="000000" w:themeColor="text1"/>
          <w:sz w:val="22"/>
          <w:szCs w:val="22"/>
        </w:rPr>
        <w:t xml:space="preserve">plans and </w:t>
      </w:r>
      <w:r w:rsidR="00F871CB">
        <w:rPr>
          <w:rFonts w:asciiTheme="minorHAnsi" w:hAnsiTheme="minorHAnsi" w:cstheme="minorHAnsi"/>
          <w:color w:val="000000" w:themeColor="text1"/>
          <w:sz w:val="22"/>
          <w:szCs w:val="22"/>
        </w:rPr>
        <w:t>activities</w:t>
      </w:r>
      <w:r w:rsidR="009561D8" w:rsidRPr="008E5DEC">
        <w:rPr>
          <w:rFonts w:asciiTheme="minorHAnsi" w:hAnsiTheme="minorHAnsi" w:cstheme="minorHAnsi"/>
          <w:color w:val="000000" w:themeColor="text1"/>
          <w:sz w:val="22"/>
          <w:szCs w:val="22"/>
        </w:rPr>
        <w:t xml:space="preserve">.  </w:t>
      </w:r>
    </w:p>
    <w:p w14:paraId="0CF5A988" w14:textId="77777777" w:rsidR="008E5DEC" w:rsidRDefault="008E5DEC" w:rsidP="008E5DEC">
      <w:pPr>
        <w:pStyle w:val="NormalWeb"/>
        <w:spacing w:before="0" w:beforeAutospacing="0" w:after="0" w:afterAutospacing="0"/>
        <w:rPr>
          <w:rFonts w:asciiTheme="minorHAnsi" w:hAnsiTheme="minorHAnsi" w:cstheme="minorHAnsi"/>
          <w:color w:val="000000" w:themeColor="text1"/>
          <w:sz w:val="22"/>
          <w:szCs w:val="22"/>
        </w:rPr>
      </w:pPr>
    </w:p>
    <w:p w14:paraId="47758499" w14:textId="77777777" w:rsidR="000859F7" w:rsidRDefault="00290447" w:rsidP="008E5DEC">
      <w:pPr>
        <w:pStyle w:val="NormalWeb"/>
        <w:spacing w:before="0" w:beforeAutospacing="0" w:after="0" w:afterAutospacing="0"/>
        <w:rPr>
          <w:rFonts w:asciiTheme="minorHAnsi" w:hAnsiTheme="minorHAnsi" w:cstheme="minorHAnsi"/>
          <w:color w:val="000000" w:themeColor="text1"/>
          <w:sz w:val="22"/>
          <w:szCs w:val="22"/>
        </w:rPr>
      </w:pPr>
      <w:r w:rsidRPr="008E5DEC">
        <w:rPr>
          <w:rFonts w:asciiTheme="minorHAnsi" w:hAnsiTheme="minorHAnsi" w:cstheme="minorHAnsi"/>
          <w:color w:val="000000" w:themeColor="text1"/>
          <w:sz w:val="22"/>
          <w:szCs w:val="22"/>
        </w:rPr>
        <w:t>E</w:t>
      </w:r>
      <w:r w:rsidR="001A4614" w:rsidRPr="008E5DEC">
        <w:rPr>
          <w:rFonts w:asciiTheme="minorHAnsi" w:hAnsiTheme="minorHAnsi" w:cstheme="minorHAnsi"/>
          <w:color w:val="000000" w:themeColor="text1"/>
          <w:sz w:val="22"/>
          <w:szCs w:val="22"/>
        </w:rPr>
        <w:t>nvironmental assessments</w:t>
      </w:r>
      <w:r w:rsidR="00DE4F3B" w:rsidRPr="008E5DEC">
        <w:rPr>
          <w:rFonts w:asciiTheme="minorHAnsi" w:hAnsiTheme="minorHAnsi" w:cstheme="minorHAnsi"/>
          <w:color w:val="000000" w:themeColor="text1"/>
          <w:sz w:val="22"/>
          <w:szCs w:val="22"/>
        </w:rPr>
        <w:t xml:space="preserve"> conducted in a transboundary context (and environmental assessments in general) </w:t>
      </w:r>
      <w:r w:rsidR="001A4614" w:rsidRPr="008E5DEC">
        <w:rPr>
          <w:rFonts w:asciiTheme="minorHAnsi" w:hAnsiTheme="minorHAnsi" w:cstheme="minorHAnsi"/>
          <w:color w:val="000000" w:themeColor="text1"/>
          <w:sz w:val="22"/>
          <w:szCs w:val="22"/>
        </w:rPr>
        <w:t xml:space="preserve">are </w:t>
      </w:r>
      <w:r w:rsidR="002D4CE0" w:rsidRPr="008E5DEC">
        <w:rPr>
          <w:rFonts w:asciiTheme="minorHAnsi" w:hAnsiTheme="minorHAnsi" w:cstheme="minorHAnsi"/>
          <w:color w:val="000000" w:themeColor="text1"/>
          <w:sz w:val="22"/>
          <w:szCs w:val="22"/>
        </w:rPr>
        <w:t>important in terms of compliance with the adopted legal frameworks on supranational and national levels</w:t>
      </w:r>
      <w:r w:rsidR="004824FA">
        <w:rPr>
          <w:rFonts w:asciiTheme="minorHAnsi" w:hAnsiTheme="minorHAnsi" w:cstheme="minorHAnsi"/>
          <w:color w:val="000000" w:themeColor="text1"/>
          <w:sz w:val="22"/>
          <w:szCs w:val="22"/>
        </w:rPr>
        <w:t xml:space="preserve">, </w:t>
      </w:r>
      <w:r w:rsidR="002D4CE0" w:rsidRPr="008E5DEC">
        <w:rPr>
          <w:rFonts w:asciiTheme="minorHAnsi" w:hAnsiTheme="minorHAnsi" w:cstheme="minorHAnsi"/>
          <w:color w:val="000000" w:themeColor="text1"/>
          <w:sz w:val="22"/>
          <w:szCs w:val="22"/>
        </w:rPr>
        <w:t xml:space="preserve">and are highly relevant </w:t>
      </w:r>
      <w:r w:rsidR="001A4614" w:rsidRPr="008E5DEC">
        <w:rPr>
          <w:rFonts w:asciiTheme="minorHAnsi" w:hAnsiTheme="minorHAnsi" w:cstheme="minorHAnsi"/>
          <w:color w:val="000000" w:themeColor="text1"/>
          <w:sz w:val="22"/>
          <w:szCs w:val="22"/>
        </w:rPr>
        <w:t>for the delivery of the BC policy objectives</w:t>
      </w:r>
      <w:r w:rsidR="002D4CE0" w:rsidRPr="008E5DEC">
        <w:rPr>
          <w:rFonts w:asciiTheme="minorHAnsi" w:hAnsiTheme="minorHAnsi" w:cstheme="minorHAnsi"/>
          <w:color w:val="000000" w:themeColor="text1"/>
          <w:sz w:val="22"/>
          <w:szCs w:val="22"/>
        </w:rPr>
        <w:t>. T</w:t>
      </w:r>
      <w:r w:rsidR="009D2E32" w:rsidRPr="008E5DEC">
        <w:rPr>
          <w:rFonts w:asciiTheme="minorHAnsi" w:hAnsiTheme="minorHAnsi" w:cstheme="minorHAnsi"/>
          <w:color w:val="000000" w:themeColor="text1"/>
          <w:sz w:val="22"/>
          <w:szCs w:val="22"/>
        </w:rPr>
        <w:t xml:space="preserve">hey are instrumental in implementing </w:t>
      </w:r>
      <w:r w:rsidR="000859F7" w:rsidRPr="008E5DEC">
        <w:rPr>
          <w:rFonts w:asciiTheme="minorHAnsi" w:hAnsiTheme="minorHAnsi" w:cstheme="minorHAnsi"/>
          <w:color w:val="000000" w:themeColor="text1"/>
          <w:sz w:val="22"/>
          <w:szCs w:val="22"/>
        </w:rPr>
        <w:t>the ICZM Protocol/ CRF</w:t>
      </w:r>
      <w:r w:rsidR="009D2E32" w:rsidRPr="008E5DEC">
        <w:rPr>
          <w:rFonts w:asciiTheme="minorHAnsi" w:hAnsiTheme="minorHAnsi" w:cstheme="minorHAnsi"/>
          <w:color w:val="000000" w:themeColor="text1"/>
          <w:sz w:val="22"/>
          <w:szCs w:val="22"/>
        </w:rPr>
        <w:t xml:space="preserve">, </w:t>
      </w:r>
      <w:r w:rsidR="00D140FA">
        <w:rPr>
          <w:rFonts w:asciiTheme="minorHAnsi" w:hAnsiTheme="minorHAnsi" w:cstheme="minorHAnsi"/>
          <w:color w:val="000000" w:themeColor="text1"/>
          <w:sz w:val="22"/>
          <w:szCs w:val="22"/>
        </w:rPr>
        <w:t xml:space="preserve">as well as for the </w:t>
      </w:r>
      <w:r w:rsidR="002D4CE0" w:rsidRPr="008E5DEC">
        <w:rPr>
          <w:rFonts w:asciiTheme="minorHAnsi" w:hAnsiTheme="minorHAnsi" w:cstheme="minorHAnsi"/>
          <w:color w:val="000000" w:themeColor="text1"/>
          <w:sz w:val="22"/>
          <w:szCs w:val="22"/>
        </w:rPr>
        <w:t xml:space="preserve">implementation of </w:t>
      </w:r>
      <w:r w:rsidR="000859F7" w:rsidRPr="008E5DEC">
        <w:rPr>
          <w:rFonts w:asciiTheme="minorHAnsi" w:hAnsiTheme="minorHAnsi" w:cstheme="minorHAnsi"/>
          <w:color w:val="000000" w:themeColor="text1"/>
          <w:sz w:val="22"/>
          <w:szCs w:val="22"/>
        </w:rPr>
        <w:t>MSP</w:t>
      </w:r>
      <w:r w:rsidR="009D2E32" w:rsidRPr="008E5DEC">
        <w:rPr>
          <w:rFonts w:asciiTheme="minorHAnsi" w:hAnsiTheme="minorHAnsi" w:cstheme="minorHAnsi"/>
          <w:color w:val="000000" w:themeColor="text1"/>
          <w:sz w:val="22"/>
          <w:szCs w:val="22"/>
        </w:rPr>
        <w:t xml:space="preserve">. </w:t>
      </w:r>
      <w:r w:rsidRPr="008E5DEC">
        <w:rPr>
          <w:rFonts w:asciiTheme="minorHAnsi" w:hAnsiTheme="minorHAnsi" w:cstheme="minorHAnsi"/>
          <w:color w:val="000000" w:themeColor="text1"/>
          <w:sz w:val="22"/>
          <w:szCs w:val="22"/>
        </w:rPr>
        <w:t xml:space="preserve">For the </w:t>
      </w:r>
      <w:r w:rsidR="002D4CE0" w:rsidRPr="008E5DEC">
        <w:rPr>
          <w:rFonts w:asciiTheme="minorHAnsi" w:hAnsiTheme="minorHAnsi" w:cstheme="minorHAnsi"/>
          <w:color w:val="000000" w:themeColor="text1"/>
          <w:sz w:val="22"/>
          <w:szCs w:val="22"/>
        </w:rPr>
        <w:t xml:space="preserve">Mediterranean </w:t>
      </w:r>
      <w:r w:rsidRPr="008E5DEC">
        <w:rPr>
          <w:rFonts w:asciiTheme="minorHAnsi" w:hAnsiTheme="minorHAnsi" w:cstheme="minorHAnsi"/>
          <w:color w:val="000000" w:themeColor="text1"/>
          <w:sz w:val="22"/>
          <w:szCs w:val="22"/>
        </w:rPr>
        <w:t xml:space="preserve">countries that are not bound with the UNECE treaties or EU </w:t>
      </w:r>
      <w:r w:rsidR="00227738" w:rsidRPr="008E5DEC">
        <w:rPr>
          <w:rFonts w:asciiTheme="minorHAnsi" w:hAnsiTheme="minorHAnsi" w:cstheme="minorHAnsi"/>
          <w:color w:val="000000" w:themeColor="text1"/>
          <w:sz w:val="22"/>
          <w:szCs w:val="22"/>
        </w:rPr>
        <w:t>legislation</w:t>
      </w:r>
      <w:r w:rsidRPr="008E5DEC">
        <w:rPr>
          <w:rFonts w:asciiTheme="minorHAnsi" w:hAnsiTheme="minorHAnsi" w:cstheme="minorHAnsi"/>
          <w:color w:val="000000" w:themeColor="text1"/>
          <w:sz w:val="22"/>
          <w:szCs w:val="22"/>
        </w:rPr>
        <w:t xml:space="preserve">, </w:t>
      </w:r>
      <w:r w:rsidR="00227738" w:rsidRPr="008E5DEC">
        <w:rPr>
          <w:rFonts w:asciiTheme="minorHAnsi" w:hAnsiTheme="minorHAnsi" w:cstheme="minorHAnsi"/>
          <w:color w:val="000000" w:themeColor="text1"/>
          <w:sz w:val="22"/>
          <w:szCs w:val="22"/>
        </w:rPr>
        <w:t>transboundary</w:t>
      </w:r>
      <w:r w:rsidRPr="008E5DEC">
        <w:rPr>
          <w:rFonts w:asciiTheme="minorHAnsi" w:hAnsiTheme="minorHAnsi" w:cstheme="minorHAnsi"/>
          <w:color w:val="000000" w:themeColor="text1"/>
          <w:sz w:val="22"/>
          <w:szCs w:val="22"/>
        </w:rPr>
        <w:t xml:space="preserve"> procedures and </w:t>
      </w:r>
      <w:r w:rsidR="00227738" w:rsidRPr="008E5DEC">
        <w:rPr>
          <w:rFonts w:asciiTheme="minorHAnsi" w:hAnsiTheme="minorHAnsi" w:cstheme="minorHAnsi"/>
          <w:color w:val="000000" w:themeColor="text1"/>
          <w:sz w:val="22"/>
          <w:szCs w:val="22"/>
        </w:rPr>
        <w:t>implementation</w:t>
      </w:r>
      <w:r w:rsidRPr="008E5DEC">
        <w:rPr>
          <w:rFonts w:asciiTheme="minorHAnsi" w:hAnsiTheme="minorHAnsi" w:cstheme="minorHAnsi"/>
          <w:color w:val="000000" w:themeColor="text1"/>
          <w:sz w:val="22"/>
          <w:szCs w:val="22"/>
        </w:rPr>
        <w:t xml:space="preserve"> of environmental assessments in general </w:t>
      </w:r>
      <w:r w:rsidR="00227738" w:rsidRPr="008E5DEC">
        <w:rPr>
          <w:rFonts w:asciiTheme="minorHAnsi" w:hAnsiTheme="minorHAnsi" w:cstheme="minorHAnsi"/>
          <w:color w:val="000000" w:themeColor="text1"/>
          <w:sz w:val="22"/>
          <w:szCs w:val="22"/>
        </w:rPr>
        <w:t xml:space="preserve">are helpful in </w:t>
      </w:r>
      <w:r w:rsidRPr="008E5DEC">
        <w:rPr>
          <w:rFonts w:asciiTheme="minorHAnsi" w:hAnsiTheme="minorHAnsi" w:cstheme="minorHAnsi"/>
          <w:color w:val="000000" w:themeColor="text1"/>
          <w:sz w:val="22"/>
          <w:szCs w:val="22"/>
        </w:rPr>
        <w:t>meet</w:t>
      </w:r>
      <w:r w:rsidR="00227738" w:rsidRPr="008E5DEC">
        <w:rPr>
          <w:rFonts w:asciiTheme="minorHAnsi" w:hAnsiTheme="minorHAnsi" w:cstheme="minorHAnsi"/>
          <w:color w:val="000000" w:themeColor="text1"/>
          <w:sz w:val="22"/>
          <w:szCs w:val="22"/>
        </w:rPr>
        <w:t>ing</w:t>
      </w:r>
      <w:r w:rsidRPr="008E5DEC">
        <w:rPr>
          <w:rFonts w:asciiTheme="minorHAnsi" w:hAnsiTheme="minorHAnsi" w:cstheme="minorHAnsi"/>
          <w:color w:val="000000" w:themeColor="text1"/>
          <w:sz w:val="22"/>
          <w:szCs w:val="22"/>
        </w:rPr>
        <w:t>/ anticipat</w:t>
      </w:r>
      <w:r w:rsidR="00227738" w:rsidRPr="008E5DEC">
        <w:rPr>
          <w:rFonts w:asciiTheme="minorHAnsi" w:hAnsiTheme="minorHAnsi" w:cstheme="minorHAnsi"/>
          <w:color w:val="000000" w:themeColor="text1"/>
          <w:sz w:val="22"/>
          <w:szCs w:val="22"/>
        </w:rPr>
        <w:t>ing requirements</w:t>
      </w:r>
      <w:r w:rsidRPr="008E5DEC">
        <w:rPr>
          <w:rFonts w:asciiTheme="minorHAnsi" w:hAnsiTheme="minorHAnsi" w:cstheme="minorHAnsi"/>
          <w:color w:val="000000" w:themeColor="text1"/>
          <w:sz w:val="22"/>
          <w:szCs w:val="22"/>
        </w:rPr>
        <w:t xml:space="preserve"> of </w:t>
      </w:r>
      <w:r w:rsidR="002D4CE0" w:rsidRPr="008E5DEC">
        <w:rPr>
          <w:rFonts w:asciiTheme="minorHAnsi" w:hAnsiTheme="minorHAnsi" w:cstheme="minorHAnsi"/>
          <w:color w:val="000000" w:themeColor="text1"/>
          <w:sz w:val="22"/>
          <w:szCs w:val="22"/>
        </w:rPr>
        <w:t xml:space="preserve">the projects implemented in the framework of the EU neighbourhood policy and those funded through the </w:t>
      </w:r>
      <w:r w:rsidRPr="008E5DEC">
        <w:rPr>
          <w:rFonts w:asciiTheme="minorHAnsi" w:hAnsiTheme="minorHAnsi" w:cstheme="minorHAnsi"/>
          <w:color w:val="000000" w:themeColor="text1"/>
          <w:sz w:val="22"/>
          <w:szCs w:val="22"/>
        </w:rPr>
        <w:t>International Financial Institutions</w:t>
      </w:r>
      <w:r w:rsidR="00F871CB">
        <w:rPr>
          <w:rFonts w:asciiTheme="minorHAnsi" w:hAnsiTheme="minorHAnsi" w:cstheme="minorHAnsi"/>
          <w:color w:val="000000" w:themeColor="text1"/>
          <w:sz w:val="22"/>
          <w:szCs w:val="22"/>
        </w:rPr>
        <w:t xml:space="preserve"> </w:t>
      </w:r>
      <w:r w:rsidRPr="008E5DEC">
        <w:rPr>
          <w:rFonts w:asciiTheme="minorHAnsi" w:hAnsiTheme="minorHAnsi" w:cstheme="minorHAnsi"/>
          <w:color w:val="000000" w:themeColor="text1"/>
          <w:sz w:val="22"/>
          <w:szCs w:val="22"/>
        </w:rPr>
        <w:t>(</w:t>
      </w:r>
      <w:r w:rsidR="00F871CB">
        <w:rPr>
          <w:rFonts w:asciiTheme="minorHAnsi" w:hAnsiTheme="minorHAnsi" w:cstheme="minorHAnsi"/>
          <w:color w:val="000000" w:themeColor="text1"/>
          <w:sz w:val="22"/>
          <w:szCs w:val="22"/>
        </w:rPr>
        <w:t>this in addition to the role they have in achieving national environmental protection and sustainable development objectives)</w:t>
      </w:r>
      <w:r w:rsidR="009561D8" w:rsidRPr="008E5DEC">
        <w:rPr>
          <w:rFonts w:asciiTheme="minorHAnsi" w:hAnsiTheme="minorHAnsi" w:cstheme="minorHAnsi"/>
          <w:color w:val="000000" w:themeColor="text1"/>
          <w:sz w:val="22"/>
          <w:szCs w:val="22"/>
        </w:rPr>
        <w:t>.</w:t>
      </w:r>
    </w:p>
    <w:p w14:paraId="026CB249" w14:textId="77777777" w:rsidR="008E5DEC" w:rsidRPr="008E5DEC" w:rsidRDefault="008E5DEC" w:rsidP="008E5DEC">
      <w:pPr>
        <w:pStyle w:val="NormalWeb"/>
        <w:spacing w:before="0" w:beforeAutospacing="0" w:after="0" w:afterAutospacing="0"/>
        <w:rPr>
          <w:rFonts w:asciiTheme="minorHAnsi" w:hAnsiTheme="minorHAnsi" w:cstheme="minorHAnsi"/>
          <w:color w:val="000000" w:themeColor="text1"/>
          <w:sz w:val="22"/>
          <w:szCs w:val="22"/>
        </w:rPr>
      </w:pPr>
    </w:p>
    <w:p w14:paraId="6797FA03" w14:textId="574D2C4B" w:rsidR="00D1015C" w:rsidRPr="00833162" w:rsidRDefault="009561D8" w:rsidP="009F720A">
      <w:pPr>
        <w:pStyle w:val="ListParagraph"/>
        <w:spacing w:after="0" w:line="240" w:lineRule="auto"/>
        <w:ind w:left="0"/>
        <w:jc w:val="both"/>
        <w:rPr>
          <w:rFonts w:cstheme="minorHAnsi"/>
          <w:color w:val="000000" w:themeColor="text1"/>
        </w:rPr>
      </w:pPr>
      <w:r w:rsidRPr="008E5DEC">
        <w:rPr>
          <w:rFonts w:cstheme="minorHAnsi"/>
        </w:rPr>
        <w:t xml:space="preserve">The experience with </w:t>
      </w:r>
      <w:r w:rsidR="00104E19">
        <w:rPr>
          <w:rFonts w:cstheme="minorHAnsi"/>
        </w:rPr>
        <w:t xml:space="preserve">the </w:t>
      </w:r>
      <w:r w:rsidRPr="008E5DEC">
        <w:rPr>
          <w:rFonts w:cstheme="minorHAnsi"/>
        </w:rPr>
        <w:t>implementation of SEA in the Medite</w:t>
      </w:r>
      <w:r w:rsidR="00F871CB">
        <w:rPr>
          <w:rFonts w:cstheme="minorHAnsi"/>
        </w:rPr>
        <w:t xml:space="preserve">rranean region is more limited </w:t>
      </w:r>
      <w:r w:rsidRPr="008E5DEC">
        <w:rPr>
          <w:rFonts w:cstheme="minorHAnsi"/>
        </w:rPr>
        <w:t>compared to EIA, mainly due to the fact this is a relatively new instrument</w:t>
      </w:r>
      <w:r w:rsidR="006B68D6" w:rsidRPr="008E5DEC">
        <w:rPr>
          <w:rFonts w:cstheme="minorHAnsi"/>
        </w:rPr>
        <w:t xml:space="preserve">: in </w:t>
      </w:r>
      <w:r w:rsidRPr="008E5DEC">
        <w:rPr>
          <w:rFonts w:cstheme="minorHAnsi"/>
        </w:rPr>
        <w:t>the EU</w:t>
      </w:r>
      <w:r w:rsidR="006B68D6" w:rsidRPr="008E5DEC">
        <w:rPr>
          <w:rFonts w:cstheme="minorHAnsi"/>
        </w:rPr>
        <w:t xml:space="preserve"> it is in </w:t>
      </w:r>
      <w:r w:rsidRPr="008E5DEC">
        <w:rPr>
          <w:rFonts w:cstheme="minorHAnsi"/>
        </w:rPr>
        <w:t>use since 2001</w:t>
      </w:r>
      <w:r w:rsidR="006B68D6" w:rsidRPr="008E5DEC">
        <w:rPr>
          <w:rFonts w:cstheme="minorHAnsi"/>
        </w:rPr>
        <w:t xml:space="preserve">, </w:t>
      </w:r>
      <w:r w:rsidR="00D16FC3">
        <w:rPr>
          <w:rFonts w:cstheme="minorHAnsi"/>
        </w:rPr>
        <w:t xml:space="preserve">while </w:t>
      </w:r>
      <w:r w:rsidRPr="008E5DEC">
        <w:rPr>
          <w:rFonts w:cstheme="minorHAnsi"/>
        </w:rPr>
        <w:t xml:space="preserve">Kiev Protocol </w:t>
      </w:r>
      <w:r w:rsidR="006B68D6" w:rsidRPr="008E5DEC">
        <w:rPr>
          <w:rFonts w:cstheme="minorHAnsi"/>
        </w:rPr>
        <w:t xml:space="preserve">(adopted in 2003) is in </w:t>
      </w:r>
      <w:r w:rsidRPr="008E5DEC">
        <w:rPr>
          <w:rFonts w:cstheme="minorHAnsi"/>
        </w:rPr>
        <w:t xml:space="preserve">force since 2010. </w:t>
      </w:r>
      <w:r w:rsidR="006B68D6" w:rsidRPr="008E5DEC">
        <w:rPr>
          <w:rFonts w:cstheme="minorHAnsi"/>
        </w:rPr>
        <w:t xml:space="preserve">With the exception of the EU Member States and </w:t>
      </w:r>
      <w:r w:rsidR="009F720A">
        <w:rPr>
          <w:rFonts w:cstheme="minorHAnsi"/>
        </w:rPr>
        <w:t xml:space="preserve">some countries aspiring to join the EU, </w:t>
      </w:r>
      <w:r w:rsidR="006B68D6" w:rsidRPr="008E5DEC">
        <w:rPr>
          <w:rFonts w:cstheme="minorHAnsi"/>
          <w:color w:val="333333"/>
        </w:rPr>
        <w:t>legislative and institutional framework</w:t>
      </w:r>
      <w:r w:rsidR="00D1015C">
        <w:rPr>
          <w:rFonts w:cstheme="minorHAnsi"/>
          <w:color w:val="333333"/>
        </w:rPr>
        <w:t>s</w:t>
      </w:r>
      <w:r w:rsidR="006B68D6" w:rsidRPr="008E5DEC">
        <w:rPr>
          <w:rFonts w:cstheme="minorHAnsi"/>
          <w:color w:val="333333"/>
        </w:rPr>
        <w:t xml:space="preserve"> for its application </w:t>
      </w:r>
      <w:r w:rsidR="00D04AB5">
        <w:rPr>
          <w:rFonts w:cstheme="minorHAnsi"/>
          <w:color w:val="333333"/>
        </w:rPr>
        <w:t xml:space="preserve">in the region </w:t>
      </w:r>
      <w:r w:rsidR="00D1015C">
        <w:rPr>
          <w:rFonts w:cstheme="minorHAnsi"/>
          <w:color w:val="333333"/>
        </w:rPr>
        <w:t xml:space="preserve">are </w:t>
      </w:r>
      <w:r w:rsidR="006B68D6" w:rsidRPr="008E5DEC">
        <w:rPr>
          <w:rFonts w:cstheme="minorHAnsi"/>
          <w:color w:val="333333"/>
        </w:rPr>
        <w:t>w</w:t>
      </w:r>
      <w:r w:rsidR="00CF7BA1">
        <w:rPr>
          <w:rFonts w:cstheme="minorHAnsi"/>
          <w:color w:val="333333"/>
        </w:rPr>
        <w:t xml:space="preserve">eak. Nevertheless, potential of </w:t>
      </w:r>
      <w:r w:rsidR="00D140FA">
        <w:rPr>
          <w:rFonts w:cstheme="minorHAnsi"/>
          <w:color w:val="333333"/>
        </w:rPr>
        <w:t xml:space="preserve">strategic assessment </w:t>
      </w:r>
      <w:r w:rsidR="006B68D6" w:rsidRPr="008E5DEC">
        <w:rPr>
          <w:rFonts w:cstheme="minorHAnsi"/>
          <w:color w:val="333333"/>
        </w:rPr>
        <w:t xml:space="preserve">and its benefits are widely </w:t>
      </w:r>
      <w:r w:rsidR="006B68D6" w:rsidRPr="00833162">
        <w:rPr>
          <w:rFonts w:cstheme="minorHAnsi"/>
          <w:color w:val="000000" w:themeColor="text1"/>
        </w:rPr>
        <w:t>recognised</w:t>
      </w:r>
      <w:r w:rsidR="000E4DEA" w:rsidRPr="00833162">
        <w:rPr>
          <w:rFonts w:cstheme="minorHAnsi"/>
          <w:color w:val="000000" w:themeColor="text1"/>
        </w:rPr>
        <w:t xml:space="preserve">, </w:t>
      </w:r>
      <w:r w:rsidR="00D62E2B" w:rsidRPr="00833162">
        <w:rPr>
          <w:rFonts w:cstheme="minorHAnsi"/>
          <w:color w:val="000000" w:themeColor="text1"/>
        </w:rPr>
        <w:t xml:space="preserve">which calls </w:t>
      </w:r>
      <w:r w:rsidR="008E5DEC" w:rsidRPr="00833162">
        <w:rPr>
          <w:rFonts w:cstheme="minorHAnsi"/>
          <w:color w:val="000000" w:themeColor="text1"/>
        </w:rPr>
        <w:t>for stronger capacity building efforts to ensure a more wides</w:t>
      </w:r>
      <w:r w:rsidR="00D04AB5" w:rsidRPr="00833162">
        <w:rPr>
          <w:rFonts w:cstheme="minorHAnsi"/>
          <w:color w:val="000000" w:themeColor="text1"/>
        </w:rPr>
        <w:t xml:space="preserve">pread use of the instrument, in particular with the view to the BC overarching goals of </w:t>
      </w:r>
      <w:r w:rsidR="00986AD7" w:rsidRPr="00833162">
        <w:rPr>
          <w:rFonts w:cstheme="minorHAnsi"/>
          <w:color w:val="000000" w:themeColor="text1"/>
        </w:rPr>
        <w:t>applying integrated</w:t>
      </w:r>
      <w:r w:rsidR="00D62E2B" w:rsidRPr="00833162">
        <w:rPr>
          <w:rFonts w:cstheme="minorHAnsi"/>
          <w:color w:val="000000" w:themeColor="text1"/>
        </w:rPr>
        <w:t xml:space="preserve">/ </w:t>
      </w:r>
      <w:r w:rsidR="00986AD7" w:rsidRPr="00833162">
        <w:rPr>
          <w:rFonts w:cstheme="minorHAnsi"/>
          <w:color w:val="000000" w:themeColor="text1"/>
        </w:rPr>
        <w:t>ecosystem-based management and achiev</w:t>
      </w:r>
      <w:r w:rsidR="00D140FA" w:rsidRPr="00833162">
        <w:rPr>
          <w:rFonts w:cstheme="minorHAnsi"/>
          <w:color w:val="000000" w:themeColor="text1"/>
        </w:rPr>
        <w:t xml:space="preserve">ing </w:t>
      </w:r>
      <w:r w:rsidR="008E5DEC" w:rsidRPr="00833162">
        <w:rPr>
          <w:rFonts w:cstheme="minorHAnsi"/>
          <w:color w:val="000000" w:themeColor="text1"/>
        </w:rPr>
        <w:t xml:space="preserve">GES. </w:t>
      </w:r>
    </w:p>
    <w:p w14:paraId="16894318" w14:textId="77777777" w:rsidR="00347274" w:rsidRDefault="00347274" w:rsidP="00CF7BA1">
      <w:pPr>
        <w:pStyle w:val="ListParagraph"/>
        <w:spacing w:after="0" w:line="240" w:lineRule="auto"/>
        <w:ind w:left="0"/>
        <w:jc w:val="both"/>
        <w:rPr>
          <w:rFonts w:cstheme="minorHAnsi"/>
          <w:color w:val="FF0000"/>
        </w:rPr>
      </w:pPr>
    </w:p>
    <w:p w14:paraId="2C03AAF7" w14:textId="77EAECD8" w:rsidR="00347274" w:rsidRPr="00327FED" w:rsidRDefault="00347274" w:rsidP="00347274">
      <w:pPr>
        <w:spacing w:after="0" w:line="240" w:lineRule="auto"/>
        <w:rPr>
          <w:i/>
          <w:color w:val="1F4E79" w:themeColor="accent1" w:themeShade="80"/>
          <w:sz w:val="20"/>
          <w:szCs w:val="20"/>
        </w:rPr>
      </w:pPr>
      <w:r w:rsidRPr="00327FED">
        <w:rPr>
          <w:i/>
          <w:color w:val="1F4E79" w:themeColor="accent1" w:themeShade="80"/>
          <w:sz w:val="20"/>
          <w:szCs w:val="20"/>
        </w:rPr>
        <w:t xml:space="preserve">Box </w:t>
      </w:r>
      <w:r w:rsidRPr="00327FED">
        <w:rPr>
          <w:i/>
          <w:color w:val="1F4E79" w:themeColor="accent1" w:themeShade="80"/>
          <w:sz w:val="20"/>
          <w:szCs w:val="20"/>
        </w:rPr>
        <w:fldChar w:fldCharType="begin"/>
      </w:r>
      <w:r w:rsidRPr="00327FED">
        <w:rPr>
          <w:i/>
          <w:color w:val="1F4E79" w:themeColor="accent1" w:themeShade="80"/>
          <w:sz w:val="20"/>
          <w:szCs w:val="20"/>
        </w:rPr>
        <w:instrText xml:space="preserve"> STYLEREF 1 \s </w:instrText>
      </w:r>
      <w:r w:rsidRPr="00327FED">
        <w:rPr>
          <w:i/>
          <w:color w:val="1F4E79" w:themeColor="accent1" w:themeShade="80"/>
          <w:sz w:val="20"/>
          <w:szCs w:val="20"/>
        </w:rPr>
        <w:fldChar w:fldCharType="separate"/>
      </w:r>
      <w:r w:rsidR="005A000D">
        <w:rPr>
          <w:i/>
          <w:noProof/>
          <w:color w:val="1F4E79" w:themeColor="accent1" w:themeShade="80"/>
          <w:sz w:val="20"/>
          <w:szCs w:val="20"/>
        </w:rPr>
        <w:t>5</w:t>
      </w:r>
      <w:r w:rsidRPr="00327FED">
        <w:rPr>
          <w:i/>
          <w:color w:val="1F4E79" w:themeColor="accent1" w:themeShade="80"/>
          <w:sz w:val="20"/>
          <w:szCs w:val="20"/>
        </w:rPr>
        <w:fldChar w:fldCharType="end"/>
      </w:r>
      <w:r w:rsidRPr="00327FED">
        <w:rPr>
          <w:i/>
          <w:color w:val="1F4E79" w:themeColor="accent1" w:themeShade="80"/>
          <w:sz w:val="20"/>
          <w:szCs w:val="20"/>
        </w:rPr>
        <w:noBreakHyphen/>
      </w:r>
      <w:r w:rsidRPr="00327FED">
        <w:rPr>
          <w:i/>
          <w:color w:val="1F4E79" w:themeColor="accent1" w:themeShade="80"/>
          <w:sz w:val="20"/>
          <w:szCs w:val="20"/>
        </w:rPr>
        <w:fldChar w:fldCharType="begin"/>
      </w:r>
      <w:r w:rsidRPr="00327FED">
        <w:rPr>
          <w:i/>
          <w:color w:val="1F4E79" w:themeColor="accent1" w:themeShade="80"/>
          <w:sz w:val="20"/>
          <w:szCs w:val="20"/>
        </w:rPr>
        <w:instrText xml:space="preserve"> SEQ Box \* ARABIC \s 1 </w:instrText>
      </w:r>
      <w:r w:rsidRPr="00327FED">
        <w:rPr>
          <w:i/>
          <w:color w:val="1F4E79" w:themeColor="accent1" w:themeShade="80"/>
          <w:sz w:val="20"/>
          <w:szCs w:val="20"/>
        </w:rPr>
        <w:fldChar w:fldCharType="separate"/>
      </w:r>
      <w:r w:rsidR="005A000D">
        <w:rPr>
          <w:i/>
          <w:noProof/>
          <w:color w:val="1F4E79" w:themeColor="accent1" w:themeShade="80"/>
          <w:sz w:val="20"/>
          <w:szCs w:val="20"/>
        </w:rPr>
        <w:t>1</w:t>
      </w:r>
      <w:r w:rsidRPr="00327FED">
        <w:rPr>
          <w:i/>
          <w:color w:val="1F4E79" w:themeColor="accent1" w:themeShade="80"/>
          <w:sz w:val="20"/>
          <w:szCs w:val="20"/>
        </w:rPr>
        <w:fldChar w:fldCharType="end"/>
      </w:r>
      <w:r w:rsidRPr="00327FED">
        <w:rPr>
          <w:i/>
          <w:color w:val="1F4E79" w:themeColor="accent1" w:themeShade="80"/>
          <w:sz w:val="20"/>
          <w:szCs w:val="20"/>
        </w:rPr>
        <w:t xml:space="preserve">: SEA for the Plan and Programme for Hydrocarbons Exploration and Exploitation in the Adriatic </w:t>
      </w:r>
    </w:p>
    <w:tbl>
      <w:tblPr>
        <w:tblStyle w:val="TableGrid"/>
        <w:tblW w:w="0" w:type="auto"/>
        <w:tblLook w:val="04A0" w:firstRow="1" w:lastRow="0" w:firstColumn="1" w:lastColumn="0" w:noHBand="0" w:noVBand="1"/>
      </w:tblPr>
      <w:tblGrid>
        <w:gridCol w:w="9060"/>
      </w:tblGrid>
      <w:tr w:rsidR="00347274" w14:paraId="4BDAA1BC" w14:textId="77777777" w:rsidTr="00327FED">
        <w:tc>
          <w:tcPr>
            <w:tcW w:w="9060" w:type="dxa"/>
          </w:tcPr>
          <w:p w14:paraId="23C29289" w14:textId="77777777" w:rsidR="00347274" w:rsidRPr="00461859" w:rsidRDefault="00347274" w:rsidP="00346133">
            <w:pPr>
              <w:rPr>
                <w:rFonts w:cstheme="minorHAnsi"/>
                <w:sz w:val="20"/>
                <w:szCs w:val="20"/>
                <w:shd w:val="clear" w:color="auto" w:fill="FFFFFF"/>
              </w:rPr>
            </w:pPr>
            <w:r w:rsidRPr="00461859">
              <w:rPr>
                <w:rFonts w:cstheme="minorHAnsi"/>
                <w:sz w:val="20"/>
                <w:szCs w:val="20"/>
                <w:shd w:val="clear" w:color="auto" w:fill="FFFFFF"/>
              </w:rPr>
              <w:t xml:space="preserve">Preparation of the Framework Plan and Program (FPP) for Exploration and Exploitation of Hydrocarbons in the Adriatic Sea was initiated in 2014 by the Croatian Hydrocarbons Agency. The FPP preparation lasted close to a year and a constituent part of it was strategic environmental assessment. </w:t>
            </w:r>
          </w:p>
          <w:p w14:paraId="7A7C4C36" w14:textId="77777777" w:rsidR="00347274" w:rsidRPr="00461859" w:rsidRDefault="00347274" w:rsidP="00346133">
            <w:pPr>
              <w:rPr>
                <w:rFonts w:cstheme="minorHAnsi"/>
                <w:sz w:val="20"/>
                <w:szCs w:val="20"/>
                <w:shd w:val="clear" w:color="auto" w:fill="FFFFFF"/>
              </w:rPr>
            </w:pPr>
          </w:p>
          <w:p w14:paraId="0D84A789" w14:textId="77777777" w:rsidR="00347274" w:rsidRPr="00461859" w:rsidRDefault="00347274" w:rsidP="00346133">
            <w:pPr>
              <w:rPr>
                <w:rFonts w:cstheme="minorHAnsi"/>
                <w:sz w:val="20"/>
                <w:szCs w:val="20"/>
                <w:shd w:val="clear" w:color="auto" w:fill="FFFFFF"/>
              </w:rPr>
            </w:pPr>
            <w:r w:rsidRPr="00461859">
              <w:rPr>
                <w:rFonts w:cstheme="minorHAnsi"/>
                <w:sz w:val="20"/>
                <w:szCs w:val="20"/>
                <w:shd w:val="clear" w:color="auto" w:fill="FFFFFF"/>
              </w:rPr>
              <w:t xml:space="preserve">The SEA process was carried out simultaneously with the FPP preparation. In line with provisions of the Espoo Convention/ Kiev Protocol, competent authorities of Italy, Montenegro and Slovenia were notified. Italy confirmed its intent to participate in the transboundary procedures and forwarded its comments in January and February 2015. Consultations with Montenegro and Slovenia were carried out through to May 2015. A positive opinion on the SEA was issued in June 2015. </w:t>
            </w:r>
          </w:p>
          <w:p w14:paraId="351BE63F" w14:textId="77777777" w:rsidR="00347274" w:rsidRPr="00461859" w:rsidRDefault="00347274" w:rsidP="00346133">
            <w:pPr>
              <w:rPr>
                <w:rFonts w:cstheme="minorHAnsi"/>
                <w:sz w:val="20"/>
                <w:szCs w:val="20"/>
                <w:shd w:val="clear" w:color="auto" w:fill="FFFFFF"/>
              </w:rPr>
            </w:pPr>
          </w:p>
          <w:p w14:paraId="0A5CD090" w14:textId="77777777" w:rsidR="00347274" w:rsidRPr="00461859" w:rsidRDefault="00347274" w:rsidP="00346133">
            <w:pPr>
              <w:rPr>
                <w:rFonts w:cstheme="minorHAnsi"/>
                <w:sz w:val="20"/>
                <w:szCs w:val="20"/>
                <w:shd w:val="clear" w:color="auto" w:fill="FFFFFF"/>
              </w:rPr>
            </w:pPr>
            <w:r w:rsidRPr="00461859">
              <w:rPr>
                <w:rFonts w:cstheme="minorHAnsi"/>
                <w:sz w:val="20"/>
                <w:szCs w:val="20"/>
                <w:shd w:val="clear" w:color="auto" w:fill="FFFFFF"/>
              </w:rPr>
              <w:t xml:space="preserve">All the comments received through the transboundary consultations were taken into account and integrated in the final SEA and FPP. The key comments received/ improvements requested from/ by the affected countries were to do with the following: </w:t>
            </w:r>
          </w:p>
          <w:p w14:paraId="6586F2D4" w14:textId="77777777" w:rsidR="00347274" w:rsidRDefault="00347274" w:rsidP="00347274">
            <w:pPr>
              <w:pStyle w:val="ListParagraph"/>
              <w:numPr>
                <w:ilvl w:val="0"/>
                <w:numId w:val="24"/>
              </w:numPr>
              <w:rPr>
                <w:rFonts w:cstheme="minorHAnsi"/>
                <w:sz w:val="20"/>
                <w:szCs w:val="20"/>
              </w:rPr>
            </w:pPr>
            <w:r w:rsidRPr="00461859">
              <w:rPr>
                <w:rFonts w:cstheme="minorHAnsi"/>
                <w:sz w:val="20"/>
                <w:szCs w:val="20"/>
              </w:rPr>
              <w:t xml:space="preserve">Italy: biodiversity and noise chapters, inclusion of Italian part of the ecological network in the analysis and formulation of protection measures, accidents and mitigation measures; </w:t>
            </w:r>
          </w:p>
          <w:p w14:paraId="051EA123" w14:textId="77777777" w:rsidR="00347274" w:rsidRPr="00461859" w:rsidRDefault="00347274" w:rsidP="00347274">
            <w:pPr>
              <w:pStyle w:val="ListParagraph"/>
              <w:numPr>
                <w:ilvl w:val="0"/>
                <w:numId w:val="24"/>
              </w:numPr>
              <w:rPr>
                <w:rFonts w:cstheme="minorHAnsi"/>
                <w:sz w:val="20"/>
                <w:szCs w:val="20"/>
              </w:rPr>
            </w:pPr>
            <w:r w:rsidRPr="00461859">
              <w:rPr>
                <w:rFonts w:cstheme="minorHAnsi"/>
                <w:sz w:val="20"/>
                <w:szCs w:val="20"/>
              </w:rPr>
              <w:t xml:space="preserve">Montenegro: detailed consideration for the situation in border exploration areas with a focus on accidents and related protection measures;    </w:t>
            </w:r>
          </w:p>
          <w:p w14:paraId="03186155" w14:textId="77777777" w:rsidR="00347274" w:rsidRPr="00461859" w:rsidRDefault="00347274" w:rsidP="00347274">
            <w:pPr>
              <w:pStyle w:val="ListParagraph"/>
              <w:numPr>
                <w:ilvl w:val="0"/>
                <w:numId w:val="24"/>
              </w:numPr>
              <w:rPr>
                <w:rFonts w:cstheme="minorHAnsi"/>
                <w:sz w:val="20"/>
                <w:szCs w:val="20"/>
              </w:rPr>
            </w:pPr>
            <w:r w:rsidRPr="00461859">
              <w:rPr>
                <w:rFonts w:cstheme="minorHAnsi"/>
                <w:sz w:val="20"/>
                <w:szCs w:val="20"/>
              </w:rPr>
              <w:t xml:space="preserve">Slovenia: biodiversity and noise, use of the Marine Strategy Framework Directive descriptors of Good Environmental Status and their determining criteria, accidents and protection measures.  </w:t>
            </w:r>
          </w:p>
          <w:p w14:paraId="595AB466" w14:textId="77777777" w:rsidR="00347274" w:rsidRDefault="00347274" w:rsidP="00346133">
            <w:pPr>
              <w:rPr>
                <w:sz w:val="20"/>
                <w:szCs w:val="20"/>
              </w:rPr>
            </w:pPr>
          </w:p>
          <w:p w14:paraId="0BC2D10D" w14:textId="10AB6C41" w:rsidR="00347274" w:rsidRPr="00327FED" w:rsidRDefault="00347274" w:rsidP="00346133">
            <w:pPr>
              <w:rPr>
                <w:sz w:val="20"/>
                <w:szCs w:val="20"/>
              </w:rPr>
            </w:pPr>
            <w:r>
              <w:rPr>
                <w:sz w:val="20"/>
                <w:szCs w:val="20"/>
              </w:rPr>
              <w:t xml:space="preserve">Transboundary cooperation conducted within the SEA process helped improve the environmental report and the FPP. </w:t>
            </w:r>
          </w:p>
        </w:tc>
      </w:tr>
    </w:tbl>
    <w:p w14:paraId="71C50F01" w14:textId="1B64B050" w:rsidR="00347274" w:rsidRPr="00327FED" w:rsidRDefault="00327FED" w:rsidP="00347274">
      <w:pPr>
        <w:pStyle w:val="Caption"/>
        <w:rPr>
          <w:rFonts w:cstheme="minorHAnsi"/>
          <w:i w:val="0"/>
          <w:color w:val="000000" w:themeColor="text1"/>
        </w:rPr>
      </w:pPr>
      <w:r w:rsidRPr="00327FED">
        <w:rPr>
          <w:i w:val="0"/>
          <w:color w:val="000000" w:themeColor="text1"/>
          <w:sz w:val="20"/>
          <w:szCs w:val="20"/>
        </w:rPr>
        <w:t xml:space="preserve">Source: Ministry of Economy of Croatia (2015), Report on the Strategic Environmental Assessment conducted for the </w:t>
      </w:r>
      <w:r w:rsidRPr="00327FED">
        <w:rPr>
          <w:rFonts w:cstheme="minorHAnsi"/>
          <w:i w:val="0"/>
          <w:color w:val="000000" w:themeColor="text1"/>
          <w:sz w:val="20"/>
          <w:szCs w:val="20"/>
          <w:shd w:val="clear" w:color="auto" w:fill="FFFFFF"/>
        </w:rPr>
        <w:t>Framework Plan and Program (FPP) for Exploration and Exploitation of Hydrocarbons in the Adriatic Sea</w:t>
      </w:r>
    </w:p>
    <w:p w14:paraId="7AAE2C94" w14:textId="77777777" w:rsidR="00327FED" w:rsidRDefault="00327FED" w:rsidP="00327FED">
      <w:pPr>
        <w:pStyle w:val="ListParagraph"/>
        <w:spacing w:after="0" w:line="240" w:lineRule="auto"/>
        <w:ind w:left="0"/>
        <w:rPr>
          <w:rFonts w:cstheme="minorHAnsi"/>
          <w:color w:val="333333"/>
        </w:rPr>
      </w:pPr>
      <w:r w:rsidRPr="008E5DEC">
        <w:rPr>
          <w:rFonts w:cstheme="minorHAnsi"/>
          <w:color w:val="333333"/>
        </w:rPr>
        <w:t xml:space="preserve">Some of the </w:t>
      </w:r>
      <w:r>
        <w:rPr>
          <w:rFonts w:cstheme="minorHAnsi"/>
          <w:color w:val="333333"/>
        </w:rPr>
        <w:t xml:space="preserve">main </w:t>
      </w:r>
      <w:r w:rsidRPr="008E5DEC">
        <w:rPr>
          <w:rFonts w:cstheme="minorHAnsi"/>
          <w:color w:val="333333"/>
        </w:rPr>
        <w:t xml:space="preserve">benefits of the SEA procedures include: </w:t>
      </w:r>
      <w:r>
        <w:rPr>
          <w:rFonts w:cstheme="minorHAnsi"/>
          <w:color w:val="333333"/>
        </w:rPr>
        <w:t xml:space="preserve">improved planning and programming; identification of new development opportunities; avoidance of costly mistakes and severe effects; efficient and transparent decision-making, strengthened governance and improved public trust in </w:t>
      </w:r>
      <w:r>
        <w:rPr>
          <w:rFonts w:cstheme="minorHAnsi"/>
          <w:color w:val="333333"/>
        </w:rPr>
        <w:lastRenderedPageBreak/>
        <w:t xml:space="preserve">policy, plan or programme making. </w:t>
      </w:r>
      <w:r w:rsidRPr="008E5DEC">
        <w:rPr>
          <w:rFonts w:cstheme="minorHAnsi"/>
          <w:color w:val="333333"/>
        </w:rPr>
        <w:t xml:space="preserve">These </w:t>
      </w:r>
      <w:r>
        <w:rPr>
          <w:rFonts w:cstheme="minorHAnsi"/>
          <w:color w:val="333333"/>
        </w:rPr>
        <w:t xml:space="preserve">benefits are </w:t>
      </w:r>
      <w:r w:rsidRPr="008E5DEC">
        <w:rPr>
          <w:rFonts w:cstheme="minorHAnsi"/>
          <w:color w:val="333333"/>
        </w:rPr>
        <w:t>even more pronounced when procedures are conducted in a transboundary context</w:t>
      </w:r>
      <w:r>
        <w:rPr>
          <w:rFonts w:cstheme="minorHAnsi"/>
          <w:color w:val="333333"/>
        </w:rPr>
        <w:t xml:space="preserve">. </w:t>
      </w:r>
    </w:p>
    <w:p w14:paraId="06F13643" w14:textId="77777777" w:rsidR="00327FED" w:rsidRDefault="00327FED" w:rsidP="00327FED">
      <w:pPr>
        <w:pStyle w:val="ListParagraph"/>
        <w:spacing w:after="0" w:line="240" w:lineRule="auto"/>
        <w:ind w:left="0"/>
        <w:rPr>
          <w:rFonts w:cstheme="minorHAnsi"/>
          <w:color w:val="333333"/>
        </w:rPr>
      </w:pPr>
    </w:p>
    <w:p w14:paraId="7C75B145" w14:textId="77777777" w:rsidR="000E4DEA" w:rsidRDefault="000A2539" w:rsidP="00D1015C">
      <w:pPr>
        <w:spacing w:after="0" w:line="240" w:lineRule="auto"/>
        <w:rPr>
          <w:rFonts w:cstheme="minorHAnsi"/>
          <w:color w:val="333333"/>
        </w:rPr>
      </w:pPr>
      <w:r>
        <w:rPr>
          <w:rFonts w:cstheme="minorHAnsi"/>
          <w:color w:val="333333"/>
        </w:rPr>
        <w:t>Similar to SEA, conducting EIA procedures offers a wide range of benefits</w:t>
      </w:r>
      <w:r w:rsidR="00E21E70">
        <w:rPr>
          <w:rFonts w:cstheme="minorHAnsi"/>
          <w:color w:val="333333"/>
        </w:rPr>
        <w:t xml:space="preserve"> which are enhanced through inclusion of stakeholders from countries</w:t>
      </w:r>
      <w:r w:rsidR="00F871CB">
        <w:rPr>
          <w:rFonts w:cstheme="minorHAnsi"/>
          <w:color w:val="333333"/>
        </w:rPr>
        <w:t xml:space="preserve"> other than the country of the project’s origin</w:t>
      </w:r>
      <w:r w:rsidR="00E21E70">
        <w:rPr>
          <w:rFonts w:cstheme="minorHAnsi"/>
          <w:color w:val="333333"/>
        </w:rPr>
        <w:t xml:space="preserve">. </w:t>
      </w:r>
      <w:r w:rsidR="000E4DEA">
        <w:rPr>
          <w:rFonts w:cstheme="minorHAnsi"/>
          <w:color w:val="333333"/>
        </w:rPr>
        <w:t xml:space="preserve">Even though EIAs are consistently applied across the BC area, regulations and mechanisms for transboundary procedures still need considerable strengthening in a number of countries to ensure </w:t>
      </w:r>
      <w:r w:rsidR="00D16FC3">
        <w:rPr>
          <w:rFonts w:cstheme="minorHAnsi"/>
          <w:color w:val="333333"/>
        </w:rPr>
        <w:t xml:space="preserve">better </w:t>
      </w:r>
      <w:r w:rsidR="000E4DEA">
        <w:rPr>
          <w:rFonts w:cstheme="minorHAnsi"/>
          <w:color w:val="333333"/>
        </w:rPr>
        <w:t xml:space="preserve">utilisation of </w:t>
      </w:r>
      <w:r w:rsidR="00D62E2B">
        <w:rPr>
          <w:rFonts w:cstheme="minorHAnsi"/>
          <w:color w:val="333333"/>
        </w:rPr>
        <w:t xml:space="preserve">the </w:t>
      </w:r>
      <w:r w:rsidR="000E4DEA">
        <w:rPr>
          <w:rFonts w:cstheme="minorHAnsi"/>
          <w:color w:val="333333"/>
        </w:rPr>
        <w:t xml:space="preserve">potential they offer. </w:t>
      </w:r>
    </w:p>
    <w:p w14:paraId="4A1E9ECD" w14:textId="77777777" w:rsidR="00D62E2B" w:rsidRDefault="00D62E2B" w:rsidP="00D1015C">
      <w:pPr>
        <w:spacing w:after="0" w:line="240" w:lineRule="auto"/>
        <w:rPr>
          <w:rFonts w:cstheme="minorHAnsi"/>
          <w:color w:val="333333"/>
        </w:rPr>
      </w:pPr>
    </w:p>
    <w:p w14:paraId="13BEFD43" w14:textId="77777777" w:rsidR="00C47743" w:rsidRDefault="00E21E70" w:rsidP="00D1015C">
      <w:pPr>
        <w:spacing w:after="0" w:line="240" w:lineRule="auto"/>
        <w:rPr>
          <w:rFonts w:cstheme="minorHAnsi"/>
          <w:color w:val="333333"/>
        </w:rPr>
      </w:pPr>
      <w:r>
        <w:rPr>
          <w:rFonts w:cstheme="minorHAnsi"/>
          <w:color w:val="333333"/>
        </w:rPr>
        <w:t>Reviews of the implementation of relevant international agreements show</w:t>
      </w:r>
      <w:r w:rsidR="000E4DEA">
        <w:rPr>
          <w:rFonts w:cstheme="minorHAnsi"/>
          <w:color w:val="333333"/>
        </w:rPr>
        <w:t xml:space="preserve"> </w:t>
      </w:r>
      <w:r>
        <w:rPr>
          <w:rFonts w:cstheme="minorHAnsi"/>
          <w:color w:val="333333"/>
        </w:rPr>
        <w:t xml:space="preserve">that as a result of transboundary EIA, new information is </w:t>
      </w:r>
      <w:r w:rsidR="00374DC3">
        <w:rPr>
          <w:rFonts w:cstheme="minorHAnsi"/>
          <w:color w:val="333333"/>
        </w:rPr>
        <w:t xml:space="preserve">often </w:t>
      </w:r>
      <w:r>
        <w:rPr>
          <w:rFonts w:cstheme="minorHAnsi"/>
          <w:color w:val="333333"/>
        </w:rPr>
        <w:t>provided, environmental protection measures are added or made stricter, and substantial environmental improvements are introduced into project designs. International cooperation is enhanced, including awareness on the importance of environmental matters in such cooperation</w:t>
      </w:r>
      <w:r w:rsidR="00C47743">
        <w:rPr>
          <w:rFonts w:cstheme="minorHAnsi"/>
          <w:color w:val="333333"/>
        </w:rPr>
        <w:t>, and potential for conflict is reduced. Transboundary EIAs lead to better informed and more objective decision</w:t>
      </w:r>
      <w:r w:rsidR="00E20284">
        <w:rPr>
          <w:rFonts w:cstheme="minorHAnsi"/>
          <w:color w:val="333333"/>
        </w:rPr>
        <w:t>-</w:t>
      </w:r>
      <w:r w:rsidR="00C47743">
        <w:rPr>
          <w:rFonts w:cstheme="minorHAnsi"/>
          <w:color w:val="333333"/>
        </w:rPr>
        <w:t xml:space="preserve">making and provide better frameworks for preparing conditions and legal agreements </w:t>
      </w:r>
      <w:r w:rsidR="00FB65F8">
        <w:rPr>
          <w:rFonts w:cstheme="minorHAnsi"/>
          <w:color w:val="333333"/>
        </w:rPr>
        <w:t xml:space="preserve">for </w:t>
      </w:r>
      <w:r w:rsidR="00C47743">
        <w:rPr>
          <w:rFonts w:cstheme="minorHAnsi"/>
          <w:color w:val="333333"/>
        </w:rPr>
        <w:t xml:space="preserve">the operation of the project. They also </w:t>
      </w:r>
      <w:r w:rsidR="00374DC3">
        <w:rPr>
          <w:rFonts w:cstheme="minorHAnsi"/>
          <w:color w:val="333333"/>
        </w:rPr>
        <w:t xml:space="preserve">help with </w:t>
      </w:r>
      <w:r w:rsidR="00C47743">
        <w:rPr>
          <w:rFonts w:cstheme="minorHAnsi"/>
          <w:color w:val="333333"/>
        </w:rPr>
        <w:t>identification of project alternatives, mitigation and compensatory measures</w:t>
      </w:r>
      <w:r w:rsidR="000E4DEA">
        <w:rPr>
          <w:rFonts w:cstheme="minorHAnsi"/>
          <w:color w:val="333333"/>
        </w:rPr>
        <w:t xml:space="preserve">, </w:t>
      </w:r>
      <w:r w:rsidR="00374DC3">
        <w:rPr>
          <w:rFonts w:cstheme="minorHAnsi"/>
          <w:color w:val="333333"/>
        </w:rPr>
        <w:t>as well as with avoidance of damages to</w:t>
      </w:r>
      <w:r w:rsidR="00C47743">
        <w:rPr>
          <w:rFonts w:cstheme="minorHAnsi"/>
          <w:color w:val="333333"/>
        </w:rPr>
        <w:t xml:space="preserve"> environmentally sensitive areas.</w:t>
      </w:r>
      <w:r w:rsidR="002D1E97">
        <w:rPr>
          <w:rFonts w:cstheme="minorHAnsi"/>
          <w:color w:val="333333"/>
        </w:rPr>
        <w:t xml:space="preserve"> Finally, transboundary procedures </w:t>
      </w:r>
      <w:r w:rsidR="00C47743">
        <w:rPr>
          <w:rFonts w:cstheme="minorHAnsi"/>
          <w:color w:val="333333"/>
        </w:rPr>
        <w:t xml:space="preserve">promote </w:t>
      </w:r>
      <w:r w:rsidR="00FB65F8">
        <w:rPr>
          <w:rFonts w:cstheme="minorHAnsi"/>
          <w:color w:val="333333"/>
        </w:rPr>
        <w:t xml:space="preserve">good practices </w:t>
      </w:r>
      <w:r w:rsidR="002D1E97">
        <w:rPr>
          <w:rFonts w:cstheme="minorHAnsi"/>
          <w:color w:val="333333"/>
        </w:rPr>
        <w:t>and encourage new approaches, they contribute to better understanding between communities and project proponents, and on a more general level</w:t>
      </w:r>
      <w:r w:rsidR="00374DC3">
        <w:rPr>
          <w:rFonts w:cstheme="minorHAnsi"/>
          <w:color w:val="333333"/>
        </w:rPr>
        <w:t xml:space="preserve"> – they </w:t>
      </w:r>
      <w:r w:rsidR="002D1E97">
        <w:rPr>
          <w:rFonts w:cstheme="minorHAnsi"/>
          <w:color w:val="333333"/>
        </w:rPr>
        <w:t xml:space="preserve">promote </w:t>
      </w:r>
      <w:r w:rsidR="00C47743">
        <w:rPr>
          <w:rFonts w:cstheme="minorHAnsi"/>
          <w:color w:val="333333"/>
        </w:rPr>
        <w:t>sustainable development and good governance</w:t>
      </w:r>
      <w:r w:rsidR="002D1E97">
        <w:rPr>
          <w:rFonts w:cstheme="minorHAnsi"/>
          <w:color w:val="333333"/>
        </w:rPr>
        <w:t xml:space="preserve">. </w:t>
      </w:r>
    </w:p>
    <w:p w14:paraId="6EBB4BA1" w14:textId="77777777" w:rsidR="00327FED" w:rsidRDefault="00327FED" w:rsidP="00D1015C">
      <w:pPr>
        <w:spacing w:after="0" w:line="240" w:lineRule="auto"/>
        <w:rPr>
          <w:rFonts w:cstheme="minorHAnsi"/>
          <w:color w:val="333333"/>
        </w:rPr>
      </w:pPr>
    </w:p>
    <w:p w14:paraId="21069E33" w14:textId="77777777" w:rsidR="00173C46" w:rsidRPr="00615099" w:rsidRDefault="00173C46" w:rsidP="000E588E">
      <w:pPr>
        <w:pStyle w:val="Heading1"/>
      </w:pPr>
      <w:bookmarkStart w:id="10" w:name="_Toc5308780"/>
      <w:r w:rsidRPr="00372087">
        <w:t>Guidelines for carrying out transboundary environmental assessments in the Mediterranean</w:t>
      </w:r>
      <w:bookmarkEnd w:id="10"/>
      <w:r w:rsidRPr="00615099">
        <w:t xml:space="preserve"> </w:t>
      </w:r>
    </w:p>
    <w:p w14:paraId="15EFE079" w14:textId="77777777" w:rsidR="00E53FD2" w:rsidRDefault="00E53FD2" w:rsidP="00967FFE">
      <w:pPr>
        <w:spacing w:after="0" w:line="240" w:lineRule="auto"/>
        <w:rPr>
          <w:rFonts w:cstheme="minorHAnsi"/>
        </w:rPr>
      </w:pPr>
    </w:p>
    <w:p w14:paraId="2E83428C" w14:textId="77777777" w:rsidR="00314462" w:rsidRPr="00967FFE" w:rsidRDefault="00D62E2B" w:rsidP="00967FFE">
      <w:pPr>
        <w:spacing w:after="0" w:line="240" w:lineRule="auto"/>
        <w:rPr>
          <w:rFonts w:cstheme="minorHAnsi"/>
        </w:rPr>
      </w:pPr>
      <w:r w:rsidRPr="00967FFE">
        <w:rPr>
          <w:rFonts w:cstheme="minorHAnsi"/>
        </w:rPr>
        <w:t xml:space="preserve">The legal </w:t>
      </w:r>
      <w:r w:rsidR="00B515F9">
        <w:rPr>
          <w:rFonts w:cstheme="minorHAnsi"/>
        </w:rPr>
        <w:t xml:space="preserve">basis </w:t>
      </w:r>
      <w:r w:rsidRPr="00967FFE">
        <w:rPr>
          <w:rFonts w:cstheme="minorHAnsi"/>
        </w:rPr>
        <w:t xml:space="preserve">for the present Guidelines </w:t>
      </w:r>
      <w:r w:rsidR="00FB65F8" w:rsidRPr="00967FFE">
        <w:rPr>
          <w:rFonts w:cstheme="minorHAnsi"/>
        </w:rPr>
        <w:t xml:space="preserve">is found in the </w:t>
      </w:r>
      <w:r w:rsidR="00372087" w:rsidRPr="00967FFE">
        <w:rPr>
          <w:rFonts w:cstheme="minorHAnsi"/>
        </w:rPr>
        <w:t>Article 4 of the BC and Article</w:t>
      </w:r>
      <w:r w:rsidRPr="00967FFE">
        <w:rPr>
          <w:rFonts w:cstheme="minorHAnsi"/>
        </w:rPr>
        <w:t xml:space="preserve">s 19 and </w:t>
      </w:r>
      <w:r w:rsidR="00372087" w:rsidRPr="00967FFE">
        <w:rPr>
          <w:rFonts w:cstheme="minorHAnsi"/>
        </w:rPr>
        <w:t>29 of the ICZM Protocol</w:t>
      </w:r>
      <w:r w:rsidR="00F754D6" w:rsidRPr="00967FFE">
        <w:rPr>
          <w:rFonts w:cstheme="minorHAnsi"/>
        </w:rPr>
        <w:t xml:space="preserve"> on environmental assessments and cooperation in assessing</w:t>
      </w:r>
      <w:r w:rsidR="00314462" w:rsidRPr="00967FFE">
        <w:rPr>
          <w:rFonts w:cstheme="minorHAnsi"/>
        </w:rPr>
        <w:t xml:space="preserve"> transboundary impacts of projects, plans or programmes </w:t>
      </w:r>
      <w:r w:rsidR="001D486E" w:rsidRPr="00967FFE">
        <w:rPr>
          <w:rFonts w:cstheme="minorHAnsi"/>
        </w:rPr>
        <w:t xml:space="preserve">in </w:t>
      </w:r>
      <w:r w:rsidR="00314462" w:rsidRPr="00967FFE">
        <w:rPr>
          <w:rFonts w:cstheme="minorHAnsi"/>
        </w:rPr>
        <w:t xml:space="preserve">coastal zones. ICZM Protocol Articles 6, 14 and 27 on ICZM principles, public participation and exchange of information are also relevant. </w:t>
      </w:r>
    </w:p>
    <w:p w14:paraId="7C9CBE5C" w14:textId="77777777" w:rsidR="00D56572" w:rsidRPr="00967FFE" w:rsidRDefault="00D56572" w:rsidP="00967FFE">
      <w:pPr>
        <w:spacing w:after="0" w:line="240" w:lineRule="auto"/>
        <w:rPr>
          <w:rFonts w:cstheme="minorHAnsi"/>
        </w:rPr>
      </w:pPr>
    </w:p>
    <w:p w14:paraId="243FD6E5" w14:textId="77777777" w:rsidR="00D56572" w:rsidRPr="00967FFE" w:rsidRDefault="0027077A" w:rsidP="00967FFE">
      <w:pPr>
        <w:spacing w:after="0" w:line="240" w:lineRule="auto"/>
        <w:rPr>
          <w:rFonts w:cstheme="minorHAnsi"/>
        </w:rPr>
      </w:pPr>
      <w:r w:rsidRPr="00967FFE">
        <w:rPr>
          <w:rFonts w:cstheme="minorHAnsi"/>
        </w:rPr>
        <w:t>Within the Barcelona Convention area, these provisions are applied in parallel to those of Espoo Convention, Kiev Protocol and the EU EIA and SEA Directives</w:t>
      </w:r>
      <w:r w:rsidR="00A7590B">
        <w:rPr>
          <w:rFonts w:cstheme="minorHAnsi"/>
        </w:rPr>
        <w:t xml:space="preserve">. As a result, </w:t>
      </w:r>
      <w:r w:rsidRPr="00967FFE">
        <w:rPr>
          <w:rFonts w:cstheme="minorHAnsi"/>
        </w:rPr>
        <w:t>a variety of approaches to regulating and conducting transboundary assessments</w:t>
      </w:r>
      <w:r w:rsidR="00A7590B">
        <w:rPr>
          <w:rFonts w:cstheme="minorHAnsi"/>
        </w:rPr>
        <w:t xml:space="preserve"> is found across the region</w:t>
      </w:r>
      <w:r w:rsidRPr="00967FFE">
        <w:rPr>
          <w:rFonts w:cstheme="minorHAnsi"/>
        </w:rPr>
        <w:t>. Among the BC Contracting Parties, 12 countries are Parties to Espoo Convention and 10 to Kiev Protocol</w:t>
      </w:r>
      <w:r w:rsidR="00207D09" w:rsidRPr="00967FFE">
        <w:rPr>
          <w:rFonts w:cstheme="minorHAnsi"/>
        </w:rPr>
        <w:t xml:space="preserve">, </w:t>
      </w:r>
      <w:r w:rsidRPr="00967FFE">
        <w:rPr>
          <w:rFonts w:cstheme="minorHAnsi"/>
        </w:rPr>
        <w:t xml:space="preserve">with almost all the EU Member States being </w:t>
      </w:r>
      <w:r w:rsidR="00E53FD2">
        <w:rPr>
          <w:rFonts w:cstheme="minorHAnsi"/>
        </w:rPr>
        <w:t>P</w:t>
      </w:r>
      <w:r w:rsidRPr="00967FFE">
        <w:rPr>
          <w:rFonts w:cstheme="minorHAnsi"/>
        </w:rPr>
        <w:t>art</w:t>
      </w:r>
      <w:r w:rsidR="00E53FD2">
        <w:rPr>
          <w:rFonts w:cstheme="minorHAnsi"/>
        </w:rPr>
        <w:t xml:space="preserve">ies </w:t>
      </w:r>
      <w:r w:rsidRPr="00967FFE">
        <w:rPr>
          <w:rFonts w:cstheme="minorHAnsi"/>
        </w:rPr>
        <w:t>to both instruments</w:t>
      </w:r>
      <w:r w:rsidR="00B515F9">
        <w:rPr>
          <w:rStyle w:val="FootnoteReference"/>
          <w:rFonts w:cstheme="minorHAnsi"/>
        </w:rPr>
        <w:footnoteReference w:id="11"/>
      </w:r>
      <w:r w:rsidRPr="00967FFE">
        <w:rPr>
          <w:rFonts w:cstheme="minorHAnsi"/>
        </w:rPr>
        <w:t xml:space="preserve">. To date, 11 </w:t>
      </w:r>
      <w:r w:rsidR="00E53FD2">
        <w:rPr>
          <w:rFonts w:cstheme="minorHAnsi"/>
        </w:rPr>
        <w:t xml:space="preserve">BC </w:t>
      </w:r>
      <w:r w:rsidRPr="00967FFE">
        <w:rPr>
          <w:rFonts w:cstheme="minorHAnsi"/>
        </w:rPr>
        <w:t>Contracting Parties have ratified the ICZM Protocol</w:t>
      </w:r>
      <w:r w:rsidR="00A7590B">
        <w:rPr>
          <w:rFonts w:cstheme="minorHAnsi"/>
        </w:rPr>
        <w:t xml:space="preserve"> (four EU Member States have still not ratified)</w:t>
      </w:r>
      <w:r w:rsidRPr="00967FFE">
        <w:rPr>
          <w:rFonts w:cstheme="minorHAnsi"/>
        </w:rPr>
        <w:t xml:space="preserve">. </w:t>
      </w:r>
      <w:r w:rsidR="00F70762">
        <w:rPr>
          <w:rFonts w:cstheme="minorHAnsi"/>
        </w:rPr>
        <w:t>S</w:t>
      </w:r>
      <w:r w:rsidRPr="00967FFE">
        <w:rPr>
          <w:rFonts w:cstheme="minorHAnsi"/>
        </w:rPr>
        <w:t xml:space="preserve">ix countries are not </w:t>
      </w:r>
      <w:r w:rsidR="00F70762">
        <w:rPr>
          <w:rFonts w:cstheme="minorHAnsi"/>
        </w:rPr>
        <w:t>P</w:t>
      </w:r>
      <w:r w:rsidRPr="00967FFE">
        <w:rPr>
          <w:rFonts w:cstheme="minorHAnsi"/>
        </w:rPr>
        <w:t xml:space="preserve">arties to </w:t>
      </w:r>
      <w:r w:rsidR="00207D09" w:rsidRPr="00967FFE">
        <w:rPr>
          <w:rFonts w:cstheme="minorHAnsi"/>
        </w:rPr>
        <w:t>either UNECE agreements or ICZM Protocol</w:t>
      </w:r>
      <w:r w:rsidR="00F70762">
        <w:rPr>
          <w:rFonts w:cstheme="minorHAnsi"/>
        </w:rPr>
        <w:t xml:space="preserve">; as a rule, </w:t>
      </w:r>
      <w:r w:rsidR="00207D09" w:rsidRPr="00967FFE">
        <w:rPr>
          <w:rFonts w:cstheme="minorHAnsi"/>
        </w:rPr>
        <w:t>provisions on transboundary procedures are missing from EIA legislation</w:t>
      </w:r>
      <w:r w:rsidR="005F3CDE">
        <w:rPr>
          <w:rFonts w:cstheme="minorHAnsi"/>
        </w:rPr>
        <w:t xml:space="preserve"> in these countries </w:t>
      </w:r>
      <w:r w:rsidR="00207D09" w:rsidRPr="00967FFE">
        <w:rPr>
          <w:rFonts w:cstheme="minorHAnsi"/>
        </w:rPr>
        <w:t xml:space="preserve">and the SEA legal frameworks are not in place.  </w:t>
      </w:r>
    </w:p>
    <w:p w14:paraId="4023D241" w14:textId="77777777" w:rsidR="00207D09" w:rsidRPr="00967FFE" w:rsidRDefault="00207D09" w:rsidP="00967FFE">
      <w:pPr>
        <w:spacing w:after="0" w:line="240" w:lineRule="auto"/>
        <w:rPr>
          <w:rFonts w:cstheme="minorHAnsi"/>
        </w:rPr>
      </w:pPr>
    </w:p>
    <w:p w14:paraId="3945D0E5" w14:textId="77777777" w:rsidR="002536BD" w:rsidRDefault="00207D09" w:rsidP="00967FFE">
      <w:pPr>
        <w:spacing w:after="0" w:line="240" w:lineRule="auto"/>
      </w:pPr>
      <w:r w:rsidRPr="00967FFE">
        <w:t>T</w:t>
      </w:r>
      <w:r w:rsidR="00A63AA3" w:rsidRPr="00967FFE">
        <w:t xml:space="preserve">he Guidelines </w:t>
      </w:r>
      <w:r w:rsidRPr="00967FFE">
        <w:t xml:space="preserve">represent an attempt to provide a common reference framework for all the Mediterranean countries, and to stimulate exchange of experiences and transfer of good/ effective practices from within the </w:t>
      </w:r>
      <w:r w:rsidR="00967FFE" w:rsidRPr="00967FFE">
        <w:t>Mediterranean</w:t>
      </w:r>
      <w:r w:rsidRPr="00967FFE">
        <w:t xml:space="preserve"> as well as from other regions/ countries</w:t>
      </w:r>
      <w:r w:rsidR="00967FFE" w:rsidRPr="00967FFE">
        <w:t xml:space="preserve">. At the same time, areas where further concerted efforts are needed to improve transboundary assessments </w:t>
      </w:r>
      <w:r w:rsidR="00F70762">
        <w:t xml:space="preserve">are identified </w:t>
      </w:r>
      <w:r w:rsidR="00967FFE" w:rsidRPr="00967FFE">
        <w:t xml:space="preserve">and specific actions </w:t>
      </w:r>
      <w:r w:rsidR="00B515F9">
        <w:t>to address current gaps and challenges</w:t>
      </w:r>
      <w:r w:rsidR="00F70762">
        <w:t xml:space="preserve"> proposed </w:t>
      </w:r>
      <w:r w:rsidR="00967FFE" w:rsidRPr="00967FFE">
        <w:t>(</w:t>
      </w:r>
      <w:r w:rsidR="00F70762">
        <w:t xml:space="preserve">as </w:t>
      </w:r>
      <w:r w:rsidR="00967FFE" w:rsidRPr="00967FFE">
        <w:t xml:space="preserve">presented in </w:t>
      </w:r>
      <w:r w:rsidR="00967FFE" w:rsidRPr="00E81F2F">
        <w:rPr>
          <w:color w:val="833C0B" w:themeColor="accent2" w:themeShade="80"/>
        </w:rPr>
        <w:t>Chapter 7</w:t>
      </w:r>
      <w:r w:rsidR="00967FFE" w:rsidRPr="00967FFE">
        <w:t xml:space="preserve">).   </w:t>
      </w:r>
    </w:p>
    <w:p w14:paraId="466BAD65" w14:textId="77777777" w:rsidR="00B515F9" w:rsidRPr="00967FFE" w:rsidRDefault="00B515F9" w:rsidP="00967FFE">
      <w:pPr>
        <w:spacing w:after="0" w:line="240" w:lineRule="auto"/>
      </w:pPr>
    </w:p>
    <w:p w14:paraId="2BE7CB1E" w14:textId="4DFC722D" w:rsidR="00A63AA3" w:rsidRDefault="00314462" w:rsidP="005F3CDE">
      <w:pPr>
        <w:spacing w:after="0" w:line="240" w:lineRule="auto"/>
      </w:pPr>
      <w:r w:rsidRPr="00967FFE">
        <w:lastRenderedPageBreak/>
        <w:t xml:space="preserve">The Guidelines </w:t>
      </w:r>
      <w:r w:rsidR="00FB65F8" w:rsidRPr="00967FFE">
        <w:t xml:space="preserve">are developed having in mind </w:t>
      </w:r>
      <w:r w:rsidRPr="00967FFE">
        <w:t xml:space="preserve">the </w:t>
      </w:r>
      <w:r w:rsidR="00A63AA3" w:rsidRPr="00967FFE">
        <w:t xml:space="preserve">existing </w:t>
      </w:r>
      <w:r w:rsidR="00FB65F8" w:rsidRPr="00967FFE">
        <w:t xml:space="preserve">diverse </w:t>
      </w:r>
      <w:r w:rsidR="00A63AA3" w:rsidRPr="00967FFE">
        <w:t>approaches in the Med</w:t>
      </w:r>
      <w:r w:rsidR="00FB65F8" w:rsidRPr="00967FFE">
        <w:t xml:space="preserve">iterranean, by using experiences with the implementation of UNECE and EU instruments and </w:t>
      </w:r>
      <w:r w:rsidR="0001037C" w:rsidRPr="00967FFE">
        <w:t>while trying to address Med</w:t>
      </w:r>
      <w:r w:rsidR="00FB65F8" w:rsidRPr="00967FFE">
        <w:t xml:space="preserve">iterranean </w:t>
      </w:r>
      <w:r w:rsidR="0001037C" w:rsidRPr="00967FFE">
        <w:t xml:space="preserve">specificities. The </w:t>
      </w:r>
      <w:r w:rsidR="00FB65F8" w:rsidRPr="00967FFE">
        <w:t xml:space="preserve">set of guidelines and recommendations </w:t>
      </w:r>
      <w:r w:rsidR="002D5409" w:rsidRPr="00967FFE">
        <w:t xml:space="preserve">provided herewith outlines requirements needed to ensure effective transboundary assessments and consultations yet is flexible enough </w:t>
      </w:r>
      <w:r w:rsidR="00FB65F8" w:rsidRPr="00967FFE">
        <w:t xml:space="preserve">to be </w:t>
      </w:r>
      <w:r w:rsidR="002D5409" w:rsidRPr="00967FFE">
        <w:t xml:space="preserve">applied </w:t>
      </w:r>
      <w:r w:rsidR="00FB65F8" w:rsidRPr="00967FFE">
        <w:t xml:space="preserve">in countries with different regulatory frameworks and </w:t>
      </w:r>
      <w:r w:rsidR="002D5409" w:rsidRPr="00967FFE">
        <w:t xml:space="preserve">capacities. To that end, the Guidelines contain recommendations on </w:t>
      </w:r>
      <w:r w:rsidR="00CF7BA1">
        <w:t xml:space="preserve">the basic </w:t>
      </w:r>
      <w:r w:rsidR="002D5409" w:rsidRPr="00967FFE">
        <w:t xml:space="preserve">requirements that </w:t>
      </w:r>
      <w:r w:rsidR="00C74151">
        <w:t xml:space="preserve">would support </w:t>
      </w:r>
      <w:r w:rsidR="002D5409" w:rsidRPr="00967FFE">
        <w:t xml:space="preserve">transboundary procedures </w:t>
      </w:r>
      <w:r w:rsidR="00C74151">
        <w:t xml:space="preserve">in line with </w:t>
      </w:r>
      <w:r w:rsidR="00D56572" w:rsidRPr="00967FFE">
        <w:t>the provisions of UNECE agreements and EU Directives</w:t>
      </w:r>
      <w:r w:rsidR="00C74151">
        <w:t xml:space="preserve">, </w:t>
      </w:r>
      <w:r w:rsidR="002D5409" w:rsidRPr="00967FFE">
        <w:t xml:space="preserve">as well </w:t>
      </w:r>
      <w:r w:rsidR="00BB6480">
        <w:t xml:space="preserve">as </w:t>
      </w:r>
      <w:r w:rsidR="00D56572" w:rsidRPr="00967FFE">
        <w:t xml:space="preserve">good practice recommendations that go above </w:t>
      </w:r>
      <w:r w:rsidR="00DE4621">
        <w:t xml:space="preserve">current </w:t>
      </w:r>
      <w:r w:rsidR="00F70762">
        <w:t>l</w:t>
      </w:r>
      <w:r w:rsidR="00D56572" w:rsidRPr="00967FFE">
        <w:t>egal provisions</w:t>
      </w:r>
      <w:r w:rsidR="00BB6480">
        <w:t xml:space="preserve"> or have potential to strengthen procedures and related outcomes</w:t>
      </w:r>
      <w:r w:rsidR="00D56572" w:rsidRPr="00967FFE">
        <w:t xml:space="preserve">. </w:t>
      </w:r>
      <w:r w:rsidR="00EE71B8">
        <w:t>An overview of the transboundary SEA practice in the EU Member States</w:t>
      </w:r>
      <w:r w:rsidR="00A156C6">
        <w:rPr>
          <w:rStyle w:val="FootnoteReference"/>
        </w:rPr>
        <w:footnoteReference w:id="12"/>
      </w:r>
      <w:r w:rsidR="00EE71B8">
        <w:t xml:space="preserve"> is provided in </w:t>
      </w:r>
      <w:r w:rsidR="00EE71B8" w:rsidRPr="00C74151">
        <w:rPr>
          <w:color w:val="833C0B" w:themeColor="accent2" w:themeShade="80"/>
        </w:rPr>
        <w:t>Annex 1, Table 3.</w:t>
      </w:r>
      <w:r w:rsidR="00EE71B8">
        <w:t xml:space="preserve"> </w:t>
      </w:r>
    </w:p>
    <w:p w14:paraId="29C0207C" w14:textId="77777777" w:rsidR="00347274" w:rsidRDefault="00347274" w:rsidP="005F3CDE">
      <w:pPr>
        <w:spacing w:after="0" w:line="240" w:lineRule="auto"/>
      </w:pPr>
    </w:p>
    <w:p w14:paraId="1EAEF46A" w14:textId="77777777" w:rsidR="00347274" w:rsidRPr="00967FFE" w:rsidRDefault="00347274" w:rsidP="00347274">
      <w:pPr>
        <w:spacing w:after="0" w:line="240" w:lineRule="auto"/>
      </w:pPr>
      <w:r w:rsidRPr="00967FFE">
        <w:t xml:space="preserve">The structure of the Guidelines follows the three main elements of transboundary cooperation outlined in Article 4 of the BC and Article 29 of the ICZM Protocol – notification, exchange of information and consultations. Moreover, a set of </w:t>
      </w:r>
      <w:r w:rsidRPr="00DB066A">
        <w:rPr>
          <w:color w:val="000000" w:themeColor="text1"/>
        </w:rPr>
        <w:t xml:space="preserve">good practice </w:t>
      </w:r>
      <w:r w:rsidRPr="00967FFE">
        <w:rPr>
          <w:color w:val="000000" w:themeColor="text1"/>
        </w:rPr>
        <w:t>recommendation</w:t>
      </w:r>
      <w:r>
        <w:rPr>
          <w:color w:val="000000" w:themeColor="text1"/>
        </w:rPr>
        <w:t>s</w:t>
      </w:r>
      <w:r w:rsidRPr="00967FFE">
        <w:rPr>
          <w:color w:val="000000" w:themeColor="text1"/>
        </w:rPr>
        <w:t xml:space="preserve"> is provided on general arrangements and steps in conducting transboundary procedures. </w:t>
      </w:r>
      <w:r w:rsidRPr="00967FFE">
        <w:rPr>
          <w:color w:val="FF0000"/>
        </w:rPr>
        <w:t xml:space="preserve"> </w:t>
      </w:r>
    </w:p>
    <w:p w14:paraId="38E35B1A" w14:textId="77777777" w:rsidR="00347274" w:rsidRDefault="00347274" w:rsidP="00347274">
      <w:pPr>
        <w:spacing w:after="0" w:line="240" w:lineRule="auto"/>
        <w:rPr>
          <w:rFonts w:cstheme="minorHAnsi"/>
          <w:color w:val="FF0000"/>
        </w:rPr>
      </w:pPr>
    </w:p>
    <w:p w14:paraId="052AD110" w14:textId="68B506C1" w:rsidR="00347274" w:rsidRDefault="00347274" w:rsidP="00347274">
      <w:pPr>
        <w:spacing w:after="0" w:line="240" w:lineRule="auto"/>
        <w:rPr>
          <w:color w:val="C00000"/>
        </w:rPr>
      </w:pPr>
      <w:r>
        <w:t xml:space="preserve">Transboundary procedures are conducted in parallel to national EIA/ SEA processes and are linked to various steps in the assessment procedures. The BC requirements on cooperation in transboundary assessments </w:t>
      </w:r>
      <w:r w:rsidR="00C74151">
        <w:t xml:space="preserve">(in relation to the EIA/ SEA steps) </w:t>
      </w:r>
      <w:r>
        <w:t xml:space="preserve">are illustrated in </w:t>
      </w:r>
      <w:r w:rsidRPr="00C74151">
        <w:rPr>
          <w:color w:val="833C0B" w:themeColor="accent2" w:themeShade="80"/>
        </w:rPr>
        <w:t>Figure 6-1.</w:t>
      </w:r>
    </w:p>
    <w:p w14:paraId="0FBD1DDB" w14:textId="77777777" w:rsidR="004D33B2" w:rsidRDefault="004D33B2" w:rsidP="00B515F9">
      <w:pPr>
        <w:spacing w:after="0" w:line="240" w:lineRule="auto"/>
      </w:pPr>
    </w:p>
    <w:p w14:paraId="652F1B38" w14:textId="77777777" w:rsidR="001F03B5" w:rsidRDefault="001F03B5" w:rsidP="004D33B2">
      <w:r>
        <w:rPr>
          <w:noProof/>
          <w:lang w:val="sr-Latn-RS" w:eastAsia="sr-Latn-RS"/>
        </w:rPr>
        <w:drawing>
          <wp:inline distT="0" distB="0" distL="0" distR="0" wp14:anchorId="446FF096" wp14:editId="156D7C04">
            <wp:extent cx="5759450" cy="3483214"/>
            <wp:effectExtent l="0" t="0" r="0" b="317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59450" cy="3483214"/>
                    </a:xfrm>
                    <a:prstGeom prst="rect">
                      <a:avLst/>
                    </a:prstGeom>
                    <a:noFill/>
                    <a:ln w="9525">
                      <a:noFill/>
                      <a:miter lim="800000"/>
                      <a:headEnd/>
                      <a:tailEnd/>
                    </a:ln>
                  </pic:spPr>
                </pic:pic>
              </a:graphicData>
            </a:graphic>
          </wp:inline>
        </w:drawing>
      </w:r>
    </w:p>
    <w:p w14:paraId="5B342A2E" w14:textId="114502BE" w:rsidR="002D363D" w:rsidRPr="002D363D" w:rsidRDefault="002D363D" w:rsidP="002D363D">
      <w:pPr>
        <w:pStyle w:val="Caption"/>
        <w:rPr>
          <w:sz w:val="20"/>
          <w:szCs w:val="20"/>
        </w:rPr>
      </w:pPr>
      <w:r w:rsidRPr="002D363D">
        <w:rPr>
          <w:sz w:val="20"/>
          <w:szCs w:val="20"/>
        </w:rPr>
        <w:t xml:space="preserve">Figure </w:t>
      </w:r>
      <w:r w:rsidR="00215A3E" w:rsidRPr="002D363D">
        <w:rPr>
          <w:sz w:val="20"/>
          <w:szCs w:val="20"/>
        </w:rPr>
        <w:fldChar w:fldCharType="begin"/>
      </w:r>
      <w:r w:rsidRPr="002D363D">
        <w:rPr>
          <w:sz w:val="20"/>
          <w:szCs w:val="20"/>
        </w:rPr>
        <w:instrText xml:space="preserve"> STYLEREF 1 \s </w:instrText>
      </w:r>
      <w:r w:rsidR="00215A3E" w:rsidRPr="002D363D">
        <w:rPr>
          <w:sz w:val="20"/>
          <w:szCs w:val="20"/>
        </w:rPr>
        <w:fldChar w:fldCharType="separate"/>
      </w:r>
      <w:r w:rsidR="005A000D">
        <w:rPr>
          <w:noProof/>
          <w:sz w:val="20"/>
          <w:szCs w:val="20"/>
        </w:rPr>
        <w:t>6</w:t>
      </w:r>
      <w:r w:rsidR="00215A3E" w:rsidRPr="002D363D">
        <w:rPr>
          <w:sz w:val="20"/>
          <w:szCs w:val="20"/>
        </w:rPr>
        <w:fldChar w:fldCharType="end"/>
      </w:r>
      <w:r w:rsidRPr="002D363D">
        <w:rPr>
          <w:sz w:val="20"/>
          <w:szCs w:val="20"/>
        </w:rPr>
        <w:noBreakHyphen/>
      </w:r>
      <w:r w:rsidR="00215A3E" w:rsidRPr="002D363D">
        <w:rPr>
          <w:sz w:val="20"/>
          <w:szCs w:val="20"/>
        </w:rPr>
        <w:fldChar w:fldCharType="begin"/>
      </w:r>
      <w:r w:rsidRPr="002D363D">
        <w:rPr>
          <w:sz w:val="20"/>
          <w:szCs w:val="20"/>
        </w:rPr>
        <w:instrText xml:space="preserve"> SEQ Figure \* ARABIC \s 1 </w:instrText>
      </w:r>
      <w:r w:rsidR="00215A3E" w:rsidRPr="002D363D">
        <w:rPr>
          <w:sz w:val="20"/>
          <w:szCs w:val="20"/>
        </w:rPr>
        <w:fldChar w:fldCharType="separate"/>
      </w:r>
      <w:r w:rsidR="005A000D">
        <w:rPr>
          <w:noProof/>
          <w:sz w:val="20"/>
          <w:szCs w:val="20"/>
        </w:rPr>
        <w:t>1</w:t>
      </w:r>
      <w:r w:rsidR="00215A3E" w:rsidRPr="002D363D">
        <w:rPr>
          <w:sz w:val="20"/>
          <w:szCs w:val="20"/>
        </w:rPr>
        <w:fldChar w:fldCharType="end"/>
      </w:r>
      <w:r w:rsidRPr="002D363D">
        <w:rPr>
          <w:sz w:val="20"/>
          <w:szCs w:val="20"/>
        </w:rPr>
        <w:t>: Schematic representation of the Barcelona Convention transboundary cooperation requirements</w:t>
      </w:r>
      <w:r w:rsidR="006D33ED">
        <w:rPr>
          <w:sz w:val="20"/>
          <w:szCs w:val="20"/>
        </w:rPr>
        <w:t xml:space="preserve"> in relation to</w:t>
      </w:r>
      <w:r w:rsidRPr="002D363D">
        <w:rPr>
          <w:sz w:val="20"/>
          <w:szCs w:val="20"/>
        </w:rPr>
        <w:t xml:space="preserve"> EIA and SEA </w:t>
      </w:r>
      <w:r w:rsidR="006D33ED">
        <w:rPr>
          <w:sz w:val="20"/>
          <w:szCs w:val="20"/>
        </w:rPr>
        <w:t>steps</w:t>
      </w:r>
      <w:r w:rsidRPr="002D363D">
        <w:rPr>
          <w:sz w:val="20"/>
          <w:szCs w:val="20"/>
        </w:rPr>
        <w:t xml:space="preserve"> </w:t>
      </w:r>
    </w:p>
    <w:p w14:paraId="3600E05F" w14:textId="77777777" w:rsidR="00347274" w:rsidRDefault="00347274" w:rsidP="00DB066A">
      <w:pPr>
        <w:spacing w:after="0" w:line="240" w:lineRule="auto"/>
        <w:rPr>
          <w:color w:val="C00000"/>
        </w:rPr>
      </w:pPr>
    </w:p>
    <w:p w14:paraId="22514E89" w14:textId="77777777" w:rsidR="00327FED" w:rsidRDefault="00327FED" w:rsidP="00DB066A">
      <w:pPr>
        <w:spacing w:after="0" w:line="240" w:lineRule="auto"/>
        <w:rPr>
          <w:color w:val="C00000"/>
        </w:rPr>
      </w:pPr>
    </w:p>
    <w:p w14:paraId="28B27768" w14:textId="77777777" w:rsidR="00327FED" w:rsidRDefault="00327FED" w:rsidP="00DB066A">
      <w:pPr>
        <w:spacing w:after="0" w:line="240" w:lineRule="auto"/>
        <w:rPr>
          <w:color w:val="C00000"/>
        </w:rPr>
      </w:pPr>
    </w:p>
    <w:p w14:paraId="619B9E1B" w14:textId="77777777" w:rsidR="00327FED" w:rsidRPr="00F85852" w:rsidRDefault="00327FED" w:rsidP="00DB066A">
      <w:pPr>
        <w:spacing w:after="0" w:line="240" w:lineRule="auto"/>
        <w:rPr>
          <w:color w:val="C00000"/>
        </w:rPr>
      </w:pPr>
    </w:p>
    <w:p w14:paraId="31A68EDF" w14:textId="77777777" w:rsidR="005F3CDE" w:rsidRDefault="005F3CDE" w:rsidP="005F3CDE">
      <w:pPr>
        <w:pStyle w:val="Heading2"/>
        <w:spacing w:before="0" w:line="240" w:lineRule="auto"/>
      </w:pPr>
      <w:bookmarkStart w:id="11" w:name="_Toc5308781"/>
      <w:r>
        <w:lastRenderedPageBreak/>
        <w:t>General arrangements for cooperation in transboundary assessments</w:t>
      </w:r>
      <w:bookmarkEnd w:id="11"/>
      <w:r>
        <w:t xml:space="preserve">  </w:t>
      </w:r>
    </w:p>
    <w:p w14:paraId="5DC3D24F" w14:textId="77777777" w:rsidR="005F3CDE" w:rsidRDefault="005F3CDE" w:rsidP="005F3CDE">
      <w:pPr>
        <w:spacing w:after="0" w:line="240" w:lineRule="auto"/>
      </w:pPr>
    </w:p>
    <w:p w14:paraId="3C67FD9C" w14:textId="77777777" w:rsidR="002D363D" w:rsidRDefault="00C572E3" w:rsidP="00170CCC">
      <w:pPr>
        <w:spacing w:after="0" w:line="240" w:lineRule="auto"/>
      </w:pPr>
      <w:r>
        <w:t xml:space="preserve">The following are the </w:t>
      </w:r>
      <w:r w:rsidR="00B515F9">
        <w:t>GOOD PRACTICE RECOMMENDATIONS</w:t>
      </w:r>
      <w:r>
        <w:t xml:space="preserve"> pertaining to general arrangements in transboundary assessments:   </w:t>
      </w:r>
    </w:p>
    <w:p w14:paraId="7C792C80" w14:textId="77777777" w:rsidR="006973CB" w:rsidRDefault="006973CB" w:rsidP="00170CCC">
      <w:pPr>
        <w:spacing w:after="0" w:line="240" w:lineRule="auto"/>
      </w:pPr>
    </w:p>
    <w:p w14:paraId="4FAD1ABE" w14:textId="77777777" w:rsidR="006973CB" w:rsidRPr="00C572E3" w:rsidRDefault="001F03B5" w:rsidP="005028DC">
      <w:pPr>
        <w:pStyle w:val="ListParagraph"/>
        <w:numPr>
          <w:ilvl w:val="0"/>
          <w:numId w:val="15"/>
        </w:numPr>
        <w:spacing w:after="0" w:line="240" w:lineRule="auto"/>
      </w:pPr>
      <w:r w:rsidRPr="00C572E3">
        <w:t xml:space="preserve">On the national level, </w:t>
      </w:r>
      <w:r w:rsidR="006973CB" w:rsidRPr="00C572E3">
        <w:t xml:space="preserve">adequate arrangements (outlining responsibilities and decision-making steps) should be set to ensure </w:t>
      </w:r>
      <w:r w:rsidRPr="00C572E3">
        <w:t>a</w:t>
      </w:r>
      <w:r w:rsidR="00F70762">
        <w:t xml:space="preserve">ppropriate </w:t>
      </w:r>
      <w:r w:rsidRPr="00C572E3">
        <w:t xml:space="preserve">governance framework </w:t>
      </w:r>
      <w:r w:rsidR="006973CB" w:rsidRPr="00C572E3">
        <w:t xml:space="preserve">is </w:t>
      </w:r>
      <w:r w:rsidRPr="00C572E3">
        <w:t>in place to support smooth transboundary consultations and completion of procedure</w:t>
      </w:r>
      <w:r w:rsidR="006973CB" w:rsidRPr="00C572E3">
        <w:t>s</w:t>
      </w:r>
      <w:r w:rsidR="00C572E3">
        <w:t xml:space="preserve">. </w:t>
      </w:r>
    </w:p>
    <w:p w14:paraId="3EE7C8C2" w14:textId="77777777" w:rsidR="001F03B5" w:rsidRPr="00C572E3" w:rsidRDefault="001F03B5" w:rsidP="00C572E3">
      <w:pPr>
        <w:spacing w:after="0" w:line="240" w:lineRule="auto"/>
        <w:ind w:firstLine="50"/>
      </w:pPr>
    </w:p>
    <w:p w14:paraId="5D0D9D3B" w14:textId="77325FA6" w:rsidR="00732EB8" w:rsidRPr="00C572E3" w:rsidRDefault="006973CB" w:rsidP="005028DC">
      <w:pPr>
        <w:pStyle w:val="ListParagraph"/>
        <w:numPr>
          <w:ilvl w:val="0"/>
          <w:numId w:val="15"/>
        </w:numPr>
        <w:tabs>
          <w:tab w:val="left" w:pos="6770"/>
        </w:tabs>
        <w:spacing w:after="0" w:line="240" w:lineRule="auto"/>
      </w:pPr>
      <w:r w:rsidRPr="00C572E3">
        <w:t>Close collaboration is necessary between the countries taking part in transboundary</w:t>
      </w:r>
      <w:r w:rsidR="00C572E3">
        <w:t xml:space="preserve"> procedures</w:t>
      </w:r>
      <w:r w:rsidRPr="00C572E3">
        <w:t xml:space="preserve">, preferably through </w:t>
      </w:r>
      <w:r w:rsidR="004D33B2" w:rsidRPr="00C572E3">
        <w:t>setting up of coordination bodies</w:t>
      </w:r>
      <w:r w:rsidRPr="00C572E3">
        <w:t xml:space="preserve">. Points of contact (if not already </w:t>
      </w:r>
      <w:r w:rsidR="00C572E3" w:rsidRPr="00C572E3">
        <w:t>appointed</w:t>
      </w:r>
      <w:r w:rsidR="00F70762">
        <w:t xml:space="preserve"> under pertinent international instruments</w:t>
      </w:r>
      <w:r w:rsidR="00C572E3" w:rsidRPr="00C572E3">
        <w:t xml:space="preserve">, </w:t>
      </w:r>
      <w:r w:rsidR="00C74151">
        <w:t xml:space="preserve">they </w:t>
      </w:r>
      <w:r w:rsidRPr="00C572E3">
        <w:t xml:space="preserve">should be </w:t>
      </w:r>
      <w:r w:rsidR="00C572E3" w:rsidRPr="00C572E3">
        <w:t>nominated for the specific procedure</w:t>
      </w:r>
      <w:r w:rsidR="00C74151">
        <w:t>s</w:t>
      </w:r>
      <w:r w:rsidR="00C572E3" w:rsidRPr="00C572E3">
        <w:t>) should be used to establish coordination bod</w:t>
      </w:r>
      <w:r w:rsidR="00C572E3">
        <w:t xml:space="preserve">ies </w:t>
      </w:r>
      <w:r w:rsidR="00C572E3" w:rsidRPr="00C572E3">
        <w:t xml:space="preserve">composed of </w:t>
      </w:r>
      <w:r w:rsidR="00C572E3">
        <w:t xml:space="preserve">relevant </w:t>
      </w:r>
      <w:r w:rsidR="00732EB8" w:rsidRPr="00C572E3">
        <w:t xml:space="preserve">national authorities (e.g. </w:t>
      </w:r>
      <w:r w:rsidR="00C572E3" w:rsidRPr="00C572E3">
        <w:t xml:space="preserve">EIA/ SEA </w:t>
      </w:r>
      <w:r w:rsidR="00C572E3">
        <w:t xml:space="preserve">competent </w:t>
      </w:r>
      <w:r w:rsidR="00C572E3" w:rsidRPr="00C572E3">
        <w:t>authorities</w:t>
      </w:r>
      <w:r w:rsidR="009E3680">
        <w:t xml:space="preserve">; </w:t>
      </w:r>
      <w:r w:rsidR="00732EB8" w:rsidRPr="00C572E3">
        <w:t>designated Espoo Convention</w:t>
      </w:r>
      <w:r w:rsidR="00C572E3" w:rsidRPr="00C572E3">
        <w:t>/ Kiev Protocol</w:t>
      </w:r>
      <w:r w:rsidR="00732EB8" w:rsidRPr="00C572E3">
        <w:t xml:space="preserve"> contact points</w:t>
      </w:r>
      <w:r w:rsidR="009E3680">
        <w:t>; Barcelona Convention</w:t>
      </w:r>
      <w:r w:rsidR="00C572E3" w:rsidRPr="00C572E3">
        <w:t>/ ICZM Protocol Focal Points)</w:t>
      </w:r>
      <w:r w:rsidR="00C572E3">
        <w:t xml:space="preserve"> in the concerned </w:t>
      </w:r>
      <w:r w:rsidR="00650A05">
        <w:t xml:space="preserve">(affected and countries of origin) </w:t>
      </w:r>
      <w:r w:rsidR="00C572E3">
        <w:t>countries</w:t>
      </w:r>
      <w:r w:rsidR="00732EB8" w:rsidRPr="00C572E3">
        <w:t>.</w:t>
      </w:r>
    </w:p>
    <w:p w14:paraId="6E55C9B5" w14:textId="77777777" w:rsidR="00852774" w:rsidRPr="00C572E3" w:rsidRDefault="00852774" w:rsidP="00C572E3">
      <w:pPr>
        <w:tabs>
          <w:tab w:val="left" w:pos="6770"/>
        </w:tabs>
        <w:spacing w:after="0" w:line="240" w:lineRule="auto"/>
      </w:pPr>
    </w:p>
    <w:p w14:paraId="6C280675" w14:textId="6FA85C00" w:rsidR="00852774" w:rsidRDefault="00852774" w:rsidP="005028DC">
      <w:pPr>
        <w:pStyle w:val="ListParagraph"/>
        <w:numPr>
          <w:ilvl w:val="0"/>
          <w:numId w:val="15"/>
        </w:numPr>
        <w:spacing w:after="0" w:line="240" w:lineRule="auto"/>
      </w:pPr>
      <w:r w:rsidRPr="00C572E3">
        <w:t>Bilateral or multilateral agreements are strong</w:t>
      </w:r>
      <w:r w:rsidR="00567806" w:rsidRPr="00C572E3">
        <w:t>ly encouraged, especially for the countries</w:t>
      </w:r>
      <w:r w:rsidR="00F70762">
        <w:t xml:space="preserve"> </w:t>
      </w:r>
      <w:r w:rsidR="00567806" w:rsidRPr="00C572E3">
        <w:t xml:space="preserve">where </w:t>
      </w:r>
      <w:r w:rsidR="00B515F9" w:rsidRPr="00C572E3">
        <w:t xml:space="preserve">the existing development plans and commitments indicate </w:t>
      </w:r>
      <w:r w:rsidR="005F2444" w:rsidRPr="00C572E3">
        <w:t xml:space="preserve">multiple </w:t>
      </w:r>
      <w:r w:rsidR="00567806" w:rsidRPr="00C572E3">
        <w:t>transboundary assessments</w:t>
      </w:r>
      <w:r w:rsidR="00902BEE">
        <w:rPr>
          <w:rStyle w:val="FootnoteReference"/>
        </w:rPr>
        <w:footnoteReference w:id="13"/>
      </w:r>
      <w:r w:rsidR="00567806" w:rsidRPr="00C572E3">
        <w:t xml:space="preserve"> </w:t>
      </w:r>
      <w:r w:rsidR="00B515F9" w:rsidRPr="00C572E3">
        <w:t xml:space="preserve">could be </w:t>
      </w:r>
      <w:r w:rsidR="00567806" w:rsidRPr="00C572E3">
        <w:t xml:space="preserve">expected </w:t>
      </w:r>
      <w:r w:rsidR="005F2444" w:rsidRPr="00C572E3">
        <w:t xml:space="preserve">in </w:t>
      </w:r>
      <w:r w:rsidR="00B515F9" w:rsidRPr="00C572E3">
        <w:t>the future, as well as for s</w:t>
      </w:r>
      <w:r w:rsidR="005F2444" w:rsidRPr="00C572E3">
        <w:t xml:space="preserve">ub-regions or clusters of countries </w:t>
      </w:r>
      <w:r w:rsidR="00D627EE" w:rsidRPr="00C572E3">
        <w:t xml:space="preserve">with similar geographic, natural or cultural characteristics. </w:t>
      </w:r>
      <w:r w:rsidR="005F2444" w:rsidRPr="00C572E3">
        <w:t xml:space="preserve">The agreements can be used to </w:t>
      </w:r>
      <w:r w:rsidRPr="00C572E3">
        <w:rPr>
          <w:i/>
        </w:rPr>
        <w:t>inter alia</w:t>
      </w:r>
      <w:r w:rsidRPr="00C572E3">
        <w:t xml:space="preserve"> </w:t>
      </w:r>
      <w:r w:rsidR="002A7EB5">
        <w:t xml:space="preserve">specify: </w:t>
      </w:r>
      <w:r w:rsidRPr="00C572E3">
        <w:t>content of notification</w:t>
      </w:r>
      <w:r w:rsidR="005F2444" w:rsidRPr="00C572E3">
        <w:t xml:space="preserve">; </w:t>
      </w:r>
      <w:r w:rsidRPr="00C572E3">
        <w:t>relevant timeframes</w:t>
      </w:r>
      <w:r w:rsidR="00567806" w:rsidRPr="00C572E3">
        <w:t xml:space="preserve"> for notification, consultations and transmittal of c</w:t>
      </w:r>
      <w:r w:rsidR="005F2444" w:rsidRPr="00C572E3">
        <w:t>o</w:t>
      </w:r>
      <w:r w:rsidR="00567806" w:rsidRPr="00C572E3">
        <w:t xml:space="preserve">mments; </w:t>
      </w:r>
      <w:r w:rsidRPr="00C572E3">
        <w:t>points of contact</w:t>
      </w:r>
      <w:r w:rsidR="005F2444" w:rsidRPr="00C572E3">
        <w:t xml:space="preserve"> and administrative procedures; </w:t>
      </w:r>
      <w:r w:rsidR="00650A05">
        <w:t xml:space="preserve">use and </w:t>
      </w:r>
      <w:r w:rsidR="005F2444" w:rsidRPr="00C572E3">
        <w:t>standardisation</w:t>
      </w:r>
      <w:r w:rsidRPr="00C572E3">
        <w:t xml:space="preserve"> of </w:t>
      </w:r>
      <w:r w:rsidR="005F2444" w:rsidRPr="00C572E3">
        <w:t xml:space="preserve">assessment </w:t>
      </w:r>
      <w:r w:rsidRPr="00C572E3">
        <w:t>practices</w:t>
      </w:r>
      <w:r w:rsidR="002A7EB5">
        <w:t>; criteria to define significance of transboundary impacts,</w:t>
      </w:r>
      <w:r w:rsidRPr="00C572E3">
        <w:t xml:space="preserve"> </w:t>
      </w:r>
      <w:r w:rsidR="002A7EB5">
        <w:t>and other elements</w:t>
      </w:r>
      <w:r w:rsidR="005F2444" w:rsidRPr="00C572E3">
        <w:t xml:space="preserve">. Bilateral or multilateral agreements can be also </w:t>
      </w:r>
      <w:r w:rsidR="002A7EB5">
        <w:t xml:space="preserve">used </w:t>
      </w:r>
      <w:r w:rsidRPr="00C572E3">
        <w:t xml:space="preserve">as </w:t>
      </w:r>
      <w:r w:rsidR="002A7EB5">
        <w:t xml:space="preserve">a </w:t>
      </w:r>
      <w:r w:rsidRPr="00C572E3">
        <w:t xml:space="preserve">means </w:t>
      </w:r>
      <w:r w:rsidR="005F2444" w:rsidRPr="00C572E3">
        <w:t xml:space="preserve">to exchange </w:t>
      </w:r>
      <w:r w:rsidRPr="00C572E3">
        <w:t xml:space="preserve">experiences between countries with different levels </w:t>
      </w:r>
      <w:r w:rsidR="002A7EB5">
        <w:t xml:space="preserve">of experience </w:t>
      </w:r>
      <w:r w:rsidRPr="00C572E3">
        <w:t>and approaches to SEA and EIA</w:t>
      </w:r>
      <w:r w:rsidR="002A7EB5">
        <w:t>. Possible elements of such agreements</w:t>
      </w:r>
      <w:r w:rsidR="00FB2C60">
        <w:t xml:space="preserve"> are </w:t>
      </w:r>
      <w:r w:rsidR="002A7EB5">
        <w:t xml:space="preserve">identified by the </w:t>
      </w:r>
      <w:r w:rsidR="00170CCC" w:rsidRPr="00C572E3">
        <w:t>Espoo Convention (</w:t>
      </w:r>
      <w:r w:rsidR="00FB2C60">
        <w:t xml:space="preserve">Appendix VI) and </w:t>
      </w:r>
      <w:r w:rsidR="002A7EB5">
        <w:t xml:space="preserve">also </w:t>
      </w:r>
      <w:r w:rsidR="00FB2C60">
        <w:t xml:space="preserve">apply to </w:t>
      </w:r>
      <w:r w:rsidR="00170CCC" w:rsidRPr="00C572E3">
        <w:t>Kiev Protocol</w:t>
      </w:r>
      <w:r w:rsidR="00FB2C60">
        <w:t xml:space="preserve">. The key elements of the Bucharest Agreement concluded among the countries of south-east Europe in 2008 (mainly governing the EIA process) </w:t>
      </w:r>
      <w:r w:rsidR="002A7EB5">
        <w:t xml:space="preserve">are presented in </w:t>
      </w:r>
      <w:r w:rsidR="002A7EB5" w:rsidRPr="00C74151">
        <w:rPr>
          <w:color w:val="833C0B" w:themeColor="accent2" w:themeShade="80"/>
        </w:rPr>
        <w:t xml:space="preserve">Box </w:t>
      </w:r>
      <w:r w:rsidR="00A32109" w:rsidRPr="00C74151">
        <w:rPr>
          <w:color w:val="833C0B" w:themeColor="accent2" w:themeShade="80"/>
        </w:rPr>
        <w:t>6</w:t>
      </w:r>
      <w:r w:rsidR="002A7EB5" w:rsidRPr="00C74151">
        <w:rPr>
          <w:color w:val="833C0B" w:themeColor="accent2" w:themeShade="80"/>
        </w:rPr>
        <w:t>-1</w:t>
      </w:r>
      <w:r w:rsidR="002A7EB5">
        <w:t>.</w:t>
      </w:r>
      <w:r w:rsidR="00650A05">
        <w:t xml:space="preserve"> The Agreement helped </w:t>
      </w:r>
      <w:r w:rsidR="00185981">
        <w:t xml:space="preserve">refine </w:t>
      </w:r>
      <w:r w:rsidR="00FB2C60">
        <w:t xml:space="preserve">the administrative procedures to ascertain clarity and transparency in order to facilitate procedures and deliver efficient and effective assessment. </w:t>
      </w:r>
    </w:p>
    <w:p w14:paraId="568CB14F" w14:textId="77777777" w:rsidR="00FB2C60" w:rsidRPr="00C572E3" w:rsidRDefault="00FB2C60" w:rsidP="00FB2C60">
      <w:pPr>
        <w:pStyle w:val="ListParagraph"/>
        <w:spacing w:after="0" w:line="240" w:lineRule="auto"/>
      </w:pPr>
    </w:p>
    <w:p w14:paraId="6E7B18CF" w14:textId="34FF4D14" w:rsidR="00170CCC" w:rsidRPr="00170CCC" w:rsidRDefault="00170CCC" w:rsidP="00170CCC">
      <w:pPr>
        <w:pStyle w:val="Caption"/>
        <w:spacing w:after="0"/>
        <w:rPr>
          <w:b/>
          <w:sz w:val="20"/>
          <w:szCs w:val="20"/>
        </w:rPr>
      </w:pPr>
      <w:r w:rsidRPr="00170CCC">
        <w:rPr>
          <w:sz w:val="20"/>
          <w:szCs w:val="20"/>
        </w:rPr>
        <w:t xml:space="preserve">Box </w:t>
      </w:r>
      <w:r w:rsidR="00347274">
        <w:rPr>
          <w:sz w:val="20"/>
          <w:szCs w:val="20"/>
        </w:rPr>
        <w:fldChar w:fldCharType="begin"/>
      </w:r>
      <w:r w:rsidR="00347274">
        <w:rPr>
          <w:sz w:val="20"/>
          <w:szCs w:val="20"/>
        </w:rPr>
        <w:instrText xml:space="preserve"> STYLEREF 1 \s </w:instrText>
      </w:r>
      <w:r w:rsidR="00347274">
        <w:rPr>
          <w:sz w:val="20"/>
          <w:szCs w:val="20"/>
        </w:rPr>
        <w:fldChar w:fldCharType="separate"/>
      </w:r>
      <w:r w:rsidR="005A000D">
        <w:rPr>
          <w:noProof/>
          <w:sz w:val="20"/>
          <w:szCs w:val="20"/>
        </w:rPr>
        <w:t>6</w:t>
      </w:r>
      <w:r w:rsidR="00347274">
        <w:rPr>
          <w:sz w:val="20"/>
          <w:szCs w:val="20"/>
        </w:rPr>
        <w:fldChar w:fldCharType="end"/>
      </w:r>
      <w:r w:rsidR="00347274">
        <w:rPr>
          <w:sz w:val="20"/>
          <w:szCs w:val="20"/>
        </w:rPr>
        <w:noBreakHyphen/>
      </w:r>
      <w:r w:rsidR="00347274">
        <w:rPr>
          <w:sz w:val="20"/>
          <w:szCs w:val="20"/>
        </w:rPr>
        <w:fldChar w:fldCharType="begin"/>
      </w:r>
      <w:r w:rsidR="00347274">
        <w:rPr>
          <w:sz w:val="20"/>
          <w:szCs w:val="20"/>
        </w:rPr>
        <w:instrText xml:space="preserve"> SEQ Box \* ARABIC \s 1 </w:instrText>
      </w:r>
      <w:r w:rsidR="00347274">
        <w:rPr>
          <w:sz w:val="20"/>
          <w:szCs w:val="20"/>
        </w:rPr>
        <w:fldChar w:fldCharType="separate"/>
      </w:r>
      <w:r w:rsidR="005A000D">
        <w:rPr>
          <w:noProof/>
          <w:sz w:val="20"/>
          <w:szCs w:val="20"/>
        </w:rPr>
        <w:t>1</w:t>
      </w:r>
      <w:r w:rsidR="00347274">
        <w:rPr>
          <w:sz w:val="20"/>
          <w:szCs w:val="20"/>
        </w:rPr>
        <w:fldChar w:fldCharType="end"/>
      </w:r>
      <w:r w:rsidRPr="00170CCC">
        <w:rPr>
          <w:sz w:val="20"/>
          <w:szCs w:val="20"/>
        </w:rPr>
        <w:t xml:space="preserve">: </w:t>
      </w:r>
      <w:r w:rsidR="0081313C">
        <w:rPr>
          <w:sz w:val="20"/>
          <w:szCs w:val="20"/>
        </w:rPr>
        <w:t>Ma</w:t>
      </w:r>
      <w:r w:rsidR="00FB2C60">
        <w:rPr>
          <w:sz w:val="20"/>
          <w:szCs w:val="20"/>
        </w:rPr>
        <w:t>in elements</w:t>
      </w:r>
      <w:r w:rsidR="0081313C">
        <w:rPr>
          <w:sz w:val="20"/>
          <w:szCs w:val="20"/>
        </w:rPr>
        <w:t xml:space="preserve"> of the Bucharest Agreement </w:t>
      </w:r>
      <w:r w:rsidR="00FB2C60">
        <w:rPr>
          <w:sz w:val="20"/>
          <w:szCs w:val="20"/>
        </w:rPr>
        <w:t xml:space="preserve"> </w:t>
      </w:r>
      <w:r w:rsidRPr="00170CCC">
        <w:rPr>
          <w:sz w:val="20"/>
          <w:szCs w:val="20"/>
        </w:rPr>
        <w:t xml:space="preserve">  </w:t>
      </w:r>
    </w:p>
    <w:tbl>
      <w:tblPr>
        <w:tblStyle w:val="TableGrid"/>
        <w:tblW w:w="0" w:type="auto"/>
        <w:tblLook w:val="04A0" w:firstRow="1" w:lastRow="0" w:firstColumn="1" w:lastColumn="0" w:noHBand="0" w:noVBand="1"/>
      </w:tblPr>
      <w:tblGrid>
        <w:gridCol w:w="9060"/>
      </w:tblGrid>
      <w:tr w:rsidR="00170CCC" w14:paraId="096BA046" w14:textId="77777777" w:rsidTr="00170CCC">
        <w:tc>
          <w:tcPr>
            <w:tcW w:w="9060" w:type="dxa"/>
          </w:tcPr>
          <w:p w14:paraId="0373B9BC" w14:textId="77777777" w:rsidR="008D496E" w:rsidRDefault="008D496E" w:rsidP="00FB2C60">
            <w:pPr>
              <w:rPr>
                <w:sz w:val="20"/>
                <w:szCs w:val="20"/>
              </w:rPr>
            </w:pPr>
          </w:p>
          <w:p w14:paraId="410B6AEC" w14:textId="77777777" w:rsidR="00185981" w:rsidRDefault="00FB2C60" w:rsidP="00FB2C60">
            <w:pPr>
              <w:rPr>
                <w:sz w:val="20"/>
                <w:szCs w:val="20"/>
              </w:rPr>
            </w:pPr>
            <w:r w:rsidRPr="0081313C">
              <w:rPr>
                <w:sz w:val="20"/>
                <w:szCs w:val="20"/>
              </w:rPr>
              <w:t>The following are regulated under the Agreement:</w:t>
            </w:r>
          </w:p>
          <w:p w14:paraId="09A91095" w14:textId="6E11A9D6" w:rsidR="00FB2C60" w:rsidRDefault="00FB2C60" w:rsidP="00FB2C60">
            <w:pPr>
              <w:rPr>
                <w:sz w:val="20"/>
                <w:szCs w:val="20"/>
              </w:rPr>
            </w:pPr>
            <w:r w:rsidRPr="0081313C">
              <w:rPr>
                <w:sz w:val="20"/>
                <w:szCs w:val="20"/>
              </w:rPr>
              <w:t xml:space="preserve"> </w:t>
            </w:r>
          </w:p>
          <w:p w14:paraId="35EDC8D8" w14:textId="77777777" w:rsidR="00FB2C60" w:rsidRPr="0081313C" w:rsidRDefault="0081313C" w:rsidP="005028DC">
            <w:pPr>
              <w:pStyle w:val="ListParagraph"/>
              <w:numPr>
                <w:ilvl w:val="0"/>
                <w:numId w:val="10"/>
              </w:numPr>
              <w:rPr>
                <w:sz w:val="20"/>
                <w:szCs w:val="20"/>
              </w:rPr>
            </w:pPr>
            <w:r>
              <w:rPr>
                <w:sz w:val="20"/>
                <w:szCs w:val="20"/>
              </w:rPr>
              <w:t>N</w:t>
            </w:r>
            <w:r w:rsidR="00FB2C60" w:rsidRPr="0081313C">
              <w:rPr>
                <w:sz w:val="20"/>
                <w:szCs w:val="20"/>
              </w:rPr>
              <w:t>otification of the designated Competent Authority and point of contact to all Parties and the Secretariat (</w:t>
            </w:r>
            <w:r w:rsidR="00FB2C60" w:rsidRPr="0081313C">
              <w:rPr>
                <w:i/>
                <w:sz w:val="20"/>
                <w:szCs w:val="20"/>
              </w:rPr>
              <w:t>of Espoo Convention</w:t>
            </w:r>
            <w:r w:rsidR="00FB2C60" w:rsidRPr="0081313C">
              <w:rPr>
                <w:sz w:val="20"/>
                <w:szCs w:val="20"/>
              </w:rPr>
              <w:t xml:space="preserve">); </w:t>
            </w:r>
          </w:p>
          <w:p w14:paraId="7E3EE074" w14:textId="77777777" w:rsidR="00FB2C60" w:rsidRPr="0081313C" w:rsidRDefault="00FB2C60" w:rsidP="005028DC">
            <w:pPr>
              <w:pStyle w:val="ListParagraph"/>
              <w:numPr>
                <w:ilvl w:val="0"/>
                <w:numId w:val="10"/>
              </w:numPr>
              <w:rPr>
                <w:sz w:val="20"/>
                <w:szCs w:val="20"/>
              </w:rPr>
            </w:pPr>
            <w:r w:rsidRPr="0081313C">
              <w:rPr>
                <w:sz w:val="20"/>
                <w:szCs w:val="20"/>
              </w:rPr>
              <w:t>The adoption of criteria for the identification of significant adverse transboundary impacts;</w:t>
            </w:r>
          </w:p>
          <w:p w14:paraId="4D35C81D" w14:textId="77777777" w:rsidR="00FB2C60" w:rsidRPr="0081313C" w:rsidRDefault="00FB2C60" w:rsidP="005028DC">
            <w:pPr>
              <w:pStyle w:val="ListParagraph"/>
              <w:numPr>
                <w:ilvl w:val="0"/>
                <w:numId w:val="10"/>
              </w:numPr>
              <w:rPr>
                <w:sz w:val="20"/>
                <w:szCs w:val="20"/>
              </w:rPr>
            </w:pPr>
            <w:r w:rsidRPr="0081313C">
              <w:rPr>
                <w:sz w:val="20"/>
                <w:szCs w:val="20"/>
              </w:rPr>
              <w:t>Development of guidelines on the implementation of the same agreement;</w:t>
            </w:r>
          </w:p>
          <w:p w14:paraId="234AD1AF" w14:textId="77777777" w:rsidR="00FB2C60" w:rsidRPr="0081313C" w:rsidRDefault="00FB2C60" w:rsidP="005028DC">
            <w:pPr>
              <w:pStyle w:val="ListParagraph"/>
              <w:numPr>
                <w:ilvl w:val="0"/>
                <w:numId w:val="10"/>
              </w:numPr>
              <w:rPr>
                <w:sz w:val="20"/>
                <w:szCs w:val="20"/>
              </w:rPr>
            </w:pPr>
            <w:r w:rsidRPr="0081313C">
              <w:rPr>
                <w:sz w:val="20"/>
                <w:szCs w:val="20"/>
              </w:rPr>
              <w:t>The establishment of joint working groups to determine detailed arrangement for communication and consultations when joint proposed activities are considered;</w:t>
            </w:r>
          </w:p>
          <w:p w14:paraId="085AF58D" w14:textId="28DE70B3" w:rsidR="00FB2C60" w:rsidRPr="0081313C" w:rsidRDefault="00FB2C60" w:rsidP="005028DC">
            <w:pPr>
              <w:pStyle w:val="ListParagraph"/>
              <w:numPr>
                <w:ilvl w:val="0"/>
                <w:numId w:val="10"/>
              </w:numPr>
              <w:rPr>
                <w:sz w:val="20"/>
                <w:szCs w:val="20"/>
              </w:rPr>
            </w:pPr>
            <w:r w:rsidRPr="0081313C">
              <w:rPr>
                <w:sz w:val="20"/>
                <w:szCs w:val="20"/>
              </w:rPr>
              <w:t>The establishment of a 30 day timeframe for the affected Party to respond to notification;</w:t>
            </w:r>
          </w:p>
          <w:p w14:paraId="248AE6EF" w14:textId="77777777" w:rsidR="00FB2C60" w:rsidRPr="0081313C" w:rsidRDefault="00FB2C60" w:rsidP="005028DC">
            <w:pPr>
              <w:pStyle w:val="ListParagraph"/>
              <w:numPr>
                <w:ilvl w:val="0"/>
                <w:numId w:val="10"/>
              </w:numPr>
              <w:rPr>
                <w:sz w:val="20"/>
                <w:szCs w:val="20"/>
              </w:rPr>
            </w:pPr>
            <w:r w:rsidRPr="0081313C">
              <w:rPr>
                <w:sz w:val="20"/>
                <w:szCs w:val="20"/>
              </w:rPr>
              <w:t>Having the notification available in the English language;</w:t>
            </w:r>
          </w:p>
          <w:p w14:paraId="628C6647" w14:textId="77777777" w:rsidR="00170CCC" w:rsidRPr="00C74151" w:rsidRDefault="00FB2C60" w:rsidP="005028DC">
            <w:pPr>
              <w:pStyle w:val="ListParagraph"/>
              <w:numPr>
                <w:ilvl w:val="0"/>
                <w:numId w:val="10"/>
              </w:numPr>
            </w:pPr>
            <w:r w:rsidRPr="0081313C">
              <w:rPr>
                <w:sz w:val="20"/>
                <w:szCs w:val="20"/>
              </w:rPr>
              <w:t>The need to translate documentation into the official language of the affected Party.</w:t>
            </w:r>
          </w:p>
          <w:p w14:paraId="7FCA27F3" w14:textId="77777777" w:rsidR="00C74151" w:rsidRPr="0081313C" w:rsidRDefault="00C74151" w:rsidP="00C74151">
            <w:pPr>
              <w:pStyle w:val="ListParagraph"/>
              <w:ind w:left="399"/>
            </w:pPr>
          </w:p>
        </w:tc>
      </w:tr>
    </w:tbl>
    <w:p w14:paraId="1E0C2994" w14:textId="77777777" w:rsidR="000821B3" w:rsidRDefault="002B1984" w:rsidP="005028DC">
      <w:pPr>
        <w:pStyle w:val="ListParagraph"/>
        <w:numPr>
          <w:ilvl w:val="0"/>
          <w:numId w:val="15"/>
        </w:numPr>
        <w:tabs>
          <w:tab w:val="left" w:pos="6770"/>
        </w:tabs>
        <w:spacing w:after="0" w:line="240" w:lineRule="auto"/>
      </w:pPr>
      <w:r>
        <w:lastRenderedPageBreak/>
        <w:t>T</w:t>
      </w:r>
      <w:r w:rsidR="00E03670" w:rsidRPr="00E03670">
        <w:t>o enhance the efficiency and effectiveness of transboundary procedure</w:t>
      </w:r>
      <w:r>
        <w:t>s</w:t>
      </w:r>
      <w:r w:rsidR="00E03670" w:rsidRPr="00E03670">
        <w:t>, an analysis of the</w:t>
      </w:r>
      <w:r w:rsidR="00650A05">
        <w:t xml:space="preserve"> </w:t>
      </w:r>
      <w:r w:rsidR="00E03670" w:rsidRPr="00E03670">
        <w:t>likelihood of significant adverse transboundary impact</w:t>
      </w:r>
      <w:r w:rsidR="002A5C17">
        <w:t xml:space="preserve">s should be always carried out. The significance of impacts should be determined </w:t>
      </w:r>
      <w:r w:rsidR="002A5C17" w:rsidRPr="00F04F3E">
        <w:t>before the country of origin notifies the affected country. Appendix III of the Espoo Convention provides general guidance on identifying significant adverse impact</w:t>
      </w:r>
      <w:r w:rsidR="002335AF">
        <w:t>s</w:t>
      </w:r>
      <w:r w:rsidR="002A5C17" w:rsidRPr="00F04F3E">
        <w:t xml:space="preserve"> based on existing environmental conditions in the location of the proposed project and the scale or characteristics of its likely impacts.</w:t>
      </w:r>
      <w:r w:rsidR="002A5C17">
        <w:t xml:space="preserve"> </w:t>
      </w:r>
      <w:r w:rsidR="00B42453">
        <w:t xml:space="preserve">The </w:t>
      </w:r>
      <w:r w:rsidR="002A5C17">
        <w:t>criteria applied to determine whether</w:t>
      </w:r>
      <w:r w:rsidR="002A5C17" w:rsidRPr="002A5C17">
        <w:t xml:space="preserve"> </w:t>
      </w:r>
      <w:r w:rsidR="002A5C17" w:rsidRPr="00F04F3E">
        <w:t>significant advers</w:t>
      </w:r>
      <w:r w:rsidR="002A5C17">
        <w:t>e transboundary impacts are likely to occur</w:t>
      </w:r>
      <w:r w:rsidR="00B42453">
        <w:t xml:space="preserve"> vary from one country to another</w:t>
      </w:r>
      <w:r w:rsidR="002A5C17">
        <w:t xml:space="preserve">. </w:t>
      </w:r>
      <w:r w:rsidR="00B42453">
        <w:t xml:space="preserve">Bilateral or multilateral cooperation to </w:t>
      </w:r>
      <w:r w:rsidR="002335AF">
        <w:t xml:space="preserve">agree on </w:t>
      </w:r>
      <w:r w:rsidR="00B42453">
        <w:t>such criteria among concerned countries</w:t>
      </w:r>
      <w:r w:rsidR="002335AF">
        <w:t>,</w:t>
      </w:r>
      <w:r w:rsidR="009E3680">
        <w:t xml:space="preserve"> </w:t>
      </w:r>
      <w:r w:rsidR="00B42453">
        <w:t xml:space="preserve">or </w:t>
      </w:r>
      <w:r w:rsidR="006973CB">
        <w:t>possibly on a sub-regional level</w:t>
      </w:r>
      <w:r w:rsidR="002335AF">
        <w:t xml:space="preserve">, </w:t>
      </w:r>
      <w:r w:rsidR="006973CB">
        <w:t xml:space="preserve">is highly recommendable. In defining these criteria, sensitivity of the coastal zone and GES objectives should be considered. Moreover, precautionary and prevention principles should apply. </w:t>
      </w:r>
    </w:p>
    <w:p w14:paraId="53A3C618" w14:textId="77777777" w:rsidR="000821B3" w:rsidRDefault="000821B3" w:rsidP="000821B3">
      <w:pPr>
        <w:pStyle w:val="ListParagraph"/>
        <w:tabs>
          <w:tab w:val="left" w:pos="6770"/>
        </w:tabs>
        <w:spacing w:after="0" w:line="240" w:lineRule="auto"/>
      </w:pPr>
    </w:p>
    <w:p w14:paraId="4CF355F4" w14:textId="23D94C72" w:rsidR="000821B3" w:rsidRPr="00BF7586" w:rsidRDefault="000821B3" w:rsidP="005028DC">
      <w:pPr>
        <w:pStyle w:val="ListParagraph"/>
        <w:numPr>
          <w:ilvl w:val="0"/>
          <w:numId w:val="15"/>
        </w:numPr>
        <w:tabs>
          <w:tab w:val="left" w:pos="6770"/>
        </w:tabs>
        <w:spacing w:after="0" w:line="240" w:lineRule="auto"/>
        <w:rPr>
          <w:color w:val="000000" w:themeColor="text1"/>
        </w:rPr>
      </w:pPr>
      <w:r w:rsidRPr="00BF7586">
        <w:rPr>
          <w:color w:val="000000" w:themeColor="text1"/>
        </w:rPr>
        <w:t>A specificity of the BC are</w:t>
      </w:r>
      <w:r w:rsidR="00650A05" w:rsidRPr="00BF7586">
        <w:rPr>
          <w:color w:val="000000" w:themeColor="text1"/>
        </w:rPr>
        <w:t>a</w:t>
      </w:r>
      <w:r w:rsidRPr="00BF7586">
        <w:rPr>
          <w:color w:val="000000" w:themeColor="text1"/>
        </w:rPr>
        <w:t xml:space="preserve"> that remits particular attention is </w:t>
      </w:r>
      <w:r w:rsidR="00A37F0E" w:rsidRPr="00BF7586">
        <w:rPr>
          <w:color w:val="000000" w:themeColor="text1"/>
        </w:rPr>
        <w:t xml:space="preserve">the </w:t>
      </w:r>
      <w:r w:rsidRPr="00BF7586">
        <w:rPr>
          <w:color w:val="000000" w:themeColor="text1"/>
        </w:rPr>
        <w:t xml:space="preserve">assessment of </w:t>
      </w:r>
      <w:r w:rsidR="00A37F0E" w:rsidRPr="00BF7586">
        <w:rPr>
          <w:color w:val="000000" w:themeColor="text1"/>
        </w:rPr>
        <w:t xml:space="preserve">likely adverse impacts </w:t>
      </w:r>
      <w:r w:rsidR="0043380E" w:rsidRPr="00BF7586">
        <w:rPr>
          <w:color w:val="000000" w:themeColor="text1"/>
        </w:rPr>
        <w:t xml:space="preserve">(of plans, programmes or activities) </w:t>
      </w:r>
      <w:r w:rsidR="00A37F0E" w:rsidRPr="00BF7586">
        <w:rPr>
          <w:color w:val="000000" w:themeColor="text1"/>
        </w:rPr>
        <w:t xml:space="preserve">on </w:t>
      </w:r>
      <w:r w:rsidR="00650A05" w:rsidRPr="00BF7586">
        <w:rPr>
          <w:color w:val="000000" w:themeColor="text1"/>
        </w:rPr>
        <w:t>the areas beyond national jurisdiction</w:t>
      </w:r>
      <w:r w:rsidR="00701A98" w:rsidRPr="00BF7586">
        <w:rPr>
          <w:color w:val="000000" w:themeColor="text1"/>
        </w:rPr>
        <w:t>; f</w:t>
      </w:r>
      <w:r w:rsidR="0014424B" w:rsidRPr="00BF7586">
        <w:rPr>
          <w:color w:val="000000" w:themeColor="text1"/>
        </w:rPr>
        <w:t xml:space="preserve">urther </w:t>
      </w:r>
      <w:r w:rsidR="0043380E" w:rsidRPr="00BF7586">
        <w:rPr>
          <w:color w:val="000000" w:themeColor="text1"/>
        </w:rPr>
        <w:t xml:space="preserve">cooperation is needed to ensure such impacts are adequately addressed and consulted </w:t>
      </w:r>
      <w:r w:rsidR="00BF7586" w:rsidRPr="00BF7586">
        <w:rPr>
          <w:color w:val="000000" w:themeColor="text1"/>
        </w:rPr>
        <w:t xml:space="preserve">in line with Article 4.3(d) of the Convention and pertinent MSSD objectives/ strategic directions. </w:t>
      </w:r>
    </w:p>
    <w:p w14:paraId="2E3561E2" w14:textId="77777777" w:rsidR="002A7EB5" w:rsidRDefault="002A7EB5" w:rsidP="002A7EB5">
      <w:pPr>
        <w:spacing w:after="0" w:line="240" w:lineRule="auto"/>
        <w:rPr>
          <w:color w:val="FF0000"/>
        </w:rPr>
      </w:pPr>
    </w:p>
    <w:p w14:paraId="50F8F8B0" w14:textId="77777777" w:rsidR="00173C46" w:rsidRDefault="00173C46" w:rsidP="000E588E">
      <w:pPr>
        <w:pStyle w:val="Heading2"/>
      </w:pPr>
      <w:bookmarkStart w:id="12" w:name="_Toc5308782"/>
      <w:r w:rsidRPr="00B61126">
        <w:t>Notification procedures</w:t>
      </w:r>
      <w:bookmarkEnd w:id="12"/>
      <w:r w:rsidRPr="00B61126">
        <w:t xml:space="preserve"> </w:t>
      </w:r>
    </w:p>
    <w:p w14:paraId="7A694CC1" w14:textId="77777777" w:rsidR="003A0527" w:rsidRDefault="003A0527" w:rsidP="003A0527">
      <w:pPr>
        <w:spacing w:after="0" w:line="240" w:lineRule="auto"/>
      </w:pPr>
    </w:p>
    <w:p w14:paraId="34B279A1" w14:textId="77777777" w:rsidR="003A0527" w:rsidRPr="003A0527" w:rsidRDefault="003A0527" w:rsidP="003A0527">
      <w:pPr>
        <w:spacing w:after="0" w:line="240" w:lineRule="auto"/>
      </w:pPr>
      <w:r>
        <w:t xml:space="preserve">Notification is usually a first step in the transboundary assessment, which marks the formal start of the procedure.  </w:t>
      </w:r>
    </w:p>
    <w:p w14:paraId="3DF0F685" w14:textId="77777777" w:rsidR="003A0527" w:rsidRDefault="003A0527" w:rsidP="00950C37">
      <w:pPr>
        <w:spacing w:after="0" w:line="240" w:lineRule="auto"/>
      </w:pPr>
    </w:p>
    <w:p w14:paraId="602E2EC5" w14:textId="5187D48E" w:rsidR="00B515F9" w:rsidRPr="00B30B26" w:rsidRDefault="00C9563E" w:rsidP="00950C37">
      <w:pPr>
        <w:spacing w:after="0" w:line="240" w:lineRule="auto"/>
        <w:rPr>
          <w:color w:val="000000" w:themeColor="text1"/>
        </w:rPr>
      </w:pPr>
      <w:r w:rsidRPr="00B30B26">
        <w:rPr>
          <w:color w:val="000000" w:themeColor="text1"/>
        </w:rPr>
        <w:t>BAS</w:t>
      </w:r>
      <w:r w:rsidR="00C63FF8" w:rsidRPr="00B30B26">
        <w:rPr>
          <w:color w:val="000000" w:themeColor="text1"/>
        </w:rPr>
        <w:t>I</w:t>
      </w:r>
      <w:r w:rsidRPr="00B30B26">
        <w:rPr>
          <w:color w:val="000000" w:themeColor="text1"/>
        </w:rPr>
        <w:t>C REQUIREMENTS</w:t>
      </w:r>
      <w:r w:rsidR="00B515F9" w:rsidRPr="00B30B26">
        <w:rPr>
          <w:color w:val="000000" w:themeColor="text1"/>
        </w:rPr>
        <w:t xml:space="preserve"> </w:t>
      </w:r>
    </w:p>
    <w:p w14:paraId="66C52F54" w14:textId="77777777" w:rsidR="00B515F9" w:rsidRDefault="00B515F9" w:rsidP="00950C37">
      <w:pPr>
        <w:spacing w:after="0" w:line="240" w:lineRule="auto"/>
      </w:pPr>
    </w:p>
    <w:p w14:paraId="35B59BB5" w14:textId="39EF8996" w:rsidR="00601D5D" w:rsidRDefault="00C454F9" w:rsidP="00950C37">
      <w:pPr>
        <w:spacing w:after="0" w:line="240" w:lineRule="auto"/>
      </w:pPr>
      <w:r w:rsidRPr="00C454F9">
        <w:t>The country of origin should notify the affected country</w:t>
      </w:r>
      <w:r w:rsidR="00123980">
        <w:t xml:space="preserve">/ </w:t>
      </w:r>
      <w:r w:rsidRPr="00C454F9">
        <w:t>countries as early as possible</w:t>
      </w:r>
      <w:r>
        <w:t xml:space="preserve">, but </w:t>
      </w:r>
      <w:r w:rsidRPr="00C454F9">
        <w:t>no later than when informing its own public</w:t>
      </w:r>
      <w:r>
        <w:t xml:space="preserve">. </w:t>
      </w:r>
      <w:r w:rsidR="00546018">
        <w:t>N</w:t>
      </w:r>
      <w:r w:rsidR="00546018" w:rsidRPr="00546018">
        <w:t>otification is necessary</w:t>
      </w:r>
      <w:r w:rsidR="00546018">
        <w:t xml:space="preserve"> </w:t>
      </w:r>
      <w:r w:rsidR="005A682A">
        <w:t xml:space="preserve">unless </w:t>
      </w:r>
      <w:r w:rsidR="00546018" w:rsidRPr="00546018">
        <w:t>significant adverse transboundary impact</w:t>
      </w:r>
      <w:r w:rsidR="005A682A">
        <w:t xml:space="preserve"> of the considered </w:t>
      </w:r>
      <w:r w:rsidR="00346133">
        <w:t xml:space="preserve">project, </w:t>
      </w:r>
      <w:r w:rsidR="005A682A">
        <w:t>plan</w:t>
      </w:r>
      <w:r w:rsidR="00346133">
        <w:t xml:space="preserve"> or </w:t>
      </w:r>
      <w:r w:rsidR="005A682A">
        <w:t xml:space="preserve">programme </w:t>
      </w:r>
      <w:r w:rsidR="00546018" w:rsidRPr="00546018">
        <w:t>can be excluded with certainty</w:t>
      </w:r>
      <w:r w:rsidR="00546018">
        <w:t xml:space="preserve">. </w:t>
      </w:r>
      <w:r w:rsidR="008E2648">
        <w:t xml:space="preserve">Timely notifications are important in order to engage the affected country from early stages of the process and to enable a possibility to capture the most relevant and up-to-date information that may be needed for the assessments. </w:t>
      </w:r>
    </w:p>
    <w:p w14:paraId="132341B4" w14:textId="77777777" w:rsidR="00111A0F" w:rsidRDefault="00111A0F" w:rsidP="00950C37">
      <w:pPr>
        <w:spacing w:after="0" w:line="240" w:lineRule="auto"/>
      </w:pPr>
    </w:p>
    <w:p w14:paraId="4A9C4CCA" w14:textId="77777777" w:rsidR="00B42453" w:rsidRPr="009E3680" w:rsidRDefault="00546018" w:rsidP="00B42453">
      <w:pPr>
        <w:spacing w:after="0" w:line="240" w:lineRule="auto"/>
        <w:rPr>
          <w:color w:val="000000" w:themeColor="text1"/>
        </w:rPr>
      </w:pPr>
      <w:r>
        <w:t>P</w:t>
      </w:r>
      <w:r w:rsidRPr="00546018">
        <w:t xml:space="preserve">otentially affected </w:t>
      </w:r>
      <w:r>
        <w:t>countries have the right to request notification (if the country of origin</w:t>
      </w:r>
      <w:r w:rsidR="004D33B2">
        <w:t xml:space="preserve"> fails to notify</w:t>
      </w:r>
      <w:r>
        <w:t xml:space="preserve">). </w:t>
      </w:r>
      <w:r w:rsidR="00B42453">
        <w:t>T</w:t>
      </w:r>
      <w:r w:rsidR="004D33B2">
        <w:t xml:space="preserve">his </w:t>
      </w:r>
      <w:r>
        <w:t xml:space="preserve">right should </w:t>
      </w:r>
      <w:r w:rsidR="00B80CCA">
        <w:t xml:space="preserve">not be limited to cases </w:t>
      </w:r>
      <w:r w:rsidR="005A682A">
        <w:t>of mandatory SEA/ EIA (as stipulated in the applicable regulations)</w:t>
      </w:r>
      <w:r w:rsidR="00B42453">
        <w:t xml:space="preserve">, but </w:t>
      </w:r>
      <w:r w:rsidR="005A682A">
        <w:t xml:space="preserve">should also apply </w:t>
      </w:r>
      <w:r w:rsidR="00F154A4">
        <w:t>to cases where screening is conducted to determine the need</w:t>
      </w:r>
      <w:r w:rsidR="005D5C44">
        <w:t xml:space="preserve"> for the assessment</w:t>
      </w:r>
      <w:r w:rsidR="004D33B2">
        <w:t>.</w:t>
      </w:r>
      <w:r w:rsidR="00B42453">
        <w:t xml:space="preserve"> </w:t>
      </w:r>
      <w:r w:rsidR="00B42453" w:rsidRPr="009E3680">
        <w:rPr>
          <w:color w:val="000000" w:themeColor="text1"/>
        </w:rPr>
        <w:t xml:space="preserve">If there is any doubt as to the absence of significant adverse environmental effects, </w:t>
      </w:r>
      <w:r w:rsidR="009E3680" w:rsidRPr="009E3680">
        <w:rPr>
          <w:color w:val="000000" w:themeColor="text1"/>
        </w:rPr>
        <w:t xml:space="preserve">obligation to notify/ the right to request notification must be observed and </w:t>
      </w:r>
      <w:r w:rsidR="00B42453" w:rsidRPr="009E3680">
        <w:rPr>
          <w:color w:val="000000" w:themeColor="text1"/>
        </w:rPr>
        <w:t xml:space="preserve">the assessment procedures be carried out. </w:t>
      </w:r>
    </w:p>
    <w:p w14:paraId="693AB646" w14:textId="77777777" w:rsidR="00C13CF4" w:rsidRDefault="004D33B2" w:rsidP="00950C37">
      <w:pPr>
        <w:spacing w:after="0" w:line="240" w:lineRule="auto"/>
      </w:pPr>
      <w:r>
        <w:t xml:space="preserve"> </w:t>
      </w:r>
    </w:p>
    <w:p w14:paraId="0C6F93EB" w14:textId="77777777" w:rsidR="00601D5D" w:rsidRDefault="00111A0F" w:rsidP="00950C37">
      <w:pPr>
        <w:spacing w:after="0" w:line="240" w:lineRule="auto"/>
      </w:pPr>
      <w:r>
        <w:t xml:space="preserve">As a minimum, </w:t>
      </w:r>
      <w:r w:rsidR="00C454F9" w:rsidRPr="00C454F9">
        <w:t xml:space="preserve">notification should contain: </w:t>
      </w:r>
    </w:p>
    <w:p w14:paraId="2F8A54D8" w14:textId="77777777" w:rsidR="00601D5D" w:rsidRDefault="00601D5D" w:rsidP="00950C37">
      <w:pPr>
        <w:spacing w:after="0" w:line="240" w:lineRule="auto"/>
      </w:pPr>
    </w:p>
    <w:p w14:paraId="68E5BE54" w14:textId="77777777" w:rsidR="00601D5D" w:rsidRDefault="00C454F9" w:rsidP="005028DC">
      <w:pPr>
        <w:pStyle w:val="ListParagraph"/>
        <w:numPr>
          <w:ilvl w:val="0"/>
          <w:numId w:val="14"/>
        </w:numPr>
        <w:spacing w:after="0" w:line="240" w:lineRule="auto"/>
      </w:pPr>
      <w:r w:rsidRPr="00C454F9">
        <w:t>Information on the proposed activity</w:t>
      </w:r>
      <w:r w:rsidR="00DC4DC2">
        <w:t xml:space="preserve"> OR </w:t>
      </w:r>
      <w:r w:rsidR="00111A0F">
        <w:t xml:space="preserve">information on </w:t>
      </w:r>
      <w:r w:rsidR="00DC4DC2">
        <w:t>the draft plan</w:t>
      </w:r>
      <w:r w:rsidR="005D5C44">
        <w:t xml:space="preserve">/ </w:t>
      </w:r>
      <w:r w:rsidR="00DC4DC2">
        <w:t>programme</w:t>
      </w:r>
      <w:r w:rsidRPr="00C454F9">
        <w:t>,</w:t>
      </w:r>
      <w:r w:rsidR="00B80CCA">
        <w:t xml:space="preserve"> </w:t>
      </w:r>
      <w:r w:rsidRPr="00C454F9">
        <w:t>including any available information about possible transboundary impact</w:t>
      </w:r>
      <w:r w:rsidR="00B80CCA">
        <w:t>s</w:t>
      </w:r>
      <w:r w:rsidRPr="00C454F9">
        <w:t xml:space="preserve">; </w:t>
      </w:r>
    </w:p>
    <w:p w14:paraId="50C390E1" w14:textId="77777777" w:rsidR="00601D5D" w:rsidRDefault="00C454F9" w:rsidP="005028DC">
      <w:pPr>
        <w:pStyle w:val="ListParagraph"/>
        <w:numPr>
          <w:ilvl w:val="0"/>
          <w:numId w:val="14"/>
        </w:numPr>
        <w:spacing w:after="0" w:line="240" w:lineRule="auto"/>
      </w:pPr>
      <w:r w:rsidRPr="00C454F9">
        <w:t>Information about the nature of the decision to be taken</w:t>
      </w:r>
      <w:r w:rsidR="00DC4DC2">
        <w:t>/ decision-making procedures</w:t>
      </w:r>
      <w:r w:rsidRPr="00C454F9">
        <w:t xml:space="preserve">; </w:t>
      </w:r>
    </w:p>
    <w:p w14:paraId="7999E4F2" w14:textId="77777777" w:rsidR="00C454F9" w:rsidRDefault="00601D5D" w:rsidP="005028DC">
      <w:pPr>
        <w:pStyle w:val="ListParagraph"/>
        <w:numPr>
          <w:ilvl w:val="0"/>
          <w:numId w:val="14"/>
        </w:numPr>
        <w:spacing w:after="0" w:line="240" w:lineRule="auto"/>
      </w:pPr>
      <w:r>
        <w:t>P</w:t>
      </w:r>
      <w:r w:rsidR="00B80CCA" w:rsidRPr="00B80CCA">
        <w:t xml:space="preserve">eriod within which </w:t>
      </w:r>
      <w:r w:rsidR="00B80CCA">
        <w:t xml:space="preserve">the notified country can confirm </w:t>
      </w:r>
      <w:r w:rsidR="00B80CCA" w:rsidRPr="00B80CCA">
        <w:t>its intention to participate in the decision-making</w:t>
      </w:r>
      <w:r w:rsidR="00DC4DC2">
        <w:t xml:space="preserve">. </w:t>
      </w:r>
      <w:r w:rsidR="00B80CCA" w:rsidRPr="00B80CCA">
        <w:t xml:space="preserve"> </w:t>
      </w:r>
    </w:p>
    <w:p w14:paraId="1FF1169F" w14:textId="77777777" w:rsidR="009E3680" w:rsidRDefault="009E3680" w:rsidP="00950C37">
      <w:pPr>
        <w:spacing w:after="0" w:line="240" w:lineRule="auto"/>
      </w:pPr>
    </w:p>
    <w:p w14:paraId="7EFD8B3A" w14:textId="77777777" w:rsidR="00601D5D" w:rsidRDefault="009E3680" w:rsidP="00950C37">
      <w:pPr>
        <w:spacing w:after="0" w:line="240" w:lineRule="auto"/>
        <w:rPr>
          <w:color w:val="C00000"/>
        </w:rPr>
      </w:pPr>
      <w:r>
        <w:t xml:space="preserve">For reference purposes, an overview of the content of notifications for selected Parties to Kiev Protocol is provided in </w:t>
      </w:r>
      <w:r w:rsidRPr="00F27150">
        <w:rPr>
          <w:color w:val="833C0B" w:themeColor="accent2" w:themeShade="80"/>
        </w:rPr>
        <w:t xml:space="preserve">Box </w:t>
      </w:r>
      <w:r w:rsidR="00A32109" w:rsidRPr="00F27150">
        <w:rPr>
          <w:color w:val="833C0B" w:themeColor="accent2" w:themeShade="80"/>
        </w:rPr>
        <w:t>6</w:t>
      </w:r>
      <w:r w:rsidRPr="00F27150">
        <w:rPr>
          <w:color w:val="833C0B" w:themeColor="accent2" w:themeShade="80"/>
        </w:rPr>
        <w:t>-</w:t>
      </w:r>
      <w:r w:rsidR="00A32109" w:rsidRPr="00F27150">
        <w:rPr>
          <w:color w:val="833C0B" w:themeColor="accent2" w:themeShade="80"/>
        </w:rPr>
        <w:t>2</w:t>
      </w:r>
      <w:r w:rsidRPr="00F27150">
        <w:rPr>
          <w:color w:val="833C0B" w:themeColor="accent2" w:themeShade="80"/>
        </w:rPr>
        <w:t>.</w:t>
      </w:r>
      <w:r>
        <w:rPr>
          <w:color w:val="C00000"/>
        </w:rPr>
        <w:t xml:space="preserve"> </w:t>
      </w:r>
    </w:p>
    <w:p w14:paraId="5FD33C7C" w14:textId="77777777" w:rsidR="0014424B" w:rsidRDefault="0014424B" w:rsidP="00950C37">
      <w:pPr>
        <w:spacing w:after="0" w:line="240" w:lineRule="auto"/>
        <w:rPr>
          <w:color w:val="C00000"/>
        </w:rPr>
      </w:pPr>
    </w:p>
    <w:p w14:paraId="641614F8" w14:textId="77777777" w:rsidR="00B30B26" w:rsidRDefault="00B30B26" w:rsidP="00950C37">
      <w:pPr>
        <w:spacing w:after="0" w:line="240" w:lineRule="auto"/>
        <w:rPr>
          <w:color w:val="C00000"/>
        </w:rPr>
      </w:pPr>
    </w:p>
    <w:p w14:paraId="3AD9C1CD" w14:textId="063FA8C7" w:rsidR="009E3680" w:rsidRPr="00C37273" w:rsidRDefault="009E3680" w:rsidP="009E3680">
      <w:pPr>
        <w:pStyle w:val="Caption"/>
        <w:spacing w:after="0"/>
        <w:rPr>
          <w:sz w:val="20"/>
          <w:szCs w:val="20"/>
        </w:rPr>
      </w:pPr>
      <w:r w:rsidRPr="00C37273">
        <w:rPr>
          <w:sz w:val="20"/>
          <w:szCs w:val="20"/>
        </w:rPr>
        <w:lastRenderedPageBreak/>
        <w:t xml:space="preserve">Box </w:t>
      </w:r>
      <w:r w:rsidR="00347274">
        <w:rPr>
          <w:sz w:val="20"/>
          <w:szCs w:val="20"/>
        </w:rPr>
        <w:fldChar w:fldCharType="begin"/>
      </w:r>
      <w:r w:rsidR="00347274">
        <w:rPr>
          <w:sz w:val="20"/>
          <w:szCs w:val="20"/>
        </w:rPr>
        <w:instrText xml:space="preserve"> STYLEREF 1 \s </w:instrText>
      </w:r>
      <w:r w:rsidR="00347274">
        <w:rPr>
          <w:sz w:val="20"/>
          <w:szCs w:val="20"/>
        </w:rPr>
        <w:fldChar w:fldCharType="separate"/>
      </w:r>
      <w:r w:rsidR="005A000D">
        <w:rPr>
          <w:noProof/>
          <w:sz w:val="20"/>
          <w:szCs w:val="20"/>
        </w:rPr>
        <w:t>6</w:t>
      </w:r>
      <w:r w:rsidR="00347274">
        <w:rPr>
          <w:sz w:val="20"/>
          <w:szCs w:val="20"/>
        </w:rPr>
        <w:fldChar w:fldCharType="end"/>
      </w:r>
      <w:r w:rsidR="00347274">
        <w:rPr>
          <w:sz w:val="20"/>
          <w:szCs w:val="20"/>
        </w:rPr>
        <w:noBreakHyphen/>
      </w:r>
      <w:r w:rsidR="00347274">
        <w:rPr>
          <w:sz w:val="20"/>
          <w:szCs w:val="20"/>
        </w:rPr>
        <w:fldChar w:fldCharType="begin"/>
      </w:r>
      <w:r w:rsidR="00347274">
        <w:rPr>
          <w:sz w:val="20"/>
          <w:szCs w:val="20"/>
        </w:rPr>
        <w:instrText xml:space="preserve"> SEQ Box \* ARABIC \s 1 </w:instrText>
      </w:r>
      <w:r w:rsidR="00347274">
        <w:rPr>
          <w:sz w:val="20"/>
          <w:szCs w:val="20"/>
        </w:rPr>
        <w:fldChar w:fldCharType="separate"/>
      </w:r>
      <w:r w:rsidR="005A000D">
        <w:rPr>
          <w:noProof/>
          <w:sz w:val="20"/>
          <w:szCs w:val="20"/>
        </w:rPr>
        <w:t>2</w:t>
      </w:r>
      <w:r w:rsidR="00347274">
        <w:rPr>
          <w:sz w:val="20"/>
          <w:szCs w:val="20"/>
        </w:rPr>
        <w:fldChar w:fldCharType="end"/>
      </w:r>
      <w:r w:rsidRPr="00C37273">
        <w:rPr>
          <w:sz w:val="20"/>
          <w:szCs w:val="20"/>
        </w:rPr>
        <w:t xml:space="preserve">: </w:t>
      </w:r>
      <w:r w:rsidR="00346133">
        <w:rPr>
          <w:sz w:val="20"/>
          <w:szCs w:val="20"/>
        </w:rPr>
        <w:t>P</w:t>
      </w:r>
      <w:r w:rsidRPr="00C37273">
        <w:rPr>
          <w:sz w:val="20"/>
          <w:szCs w:val="20"/>
        </w:rPr>
        <w:t xml:space="preserve">ractices </w:t>
      </w:r>
      <w:r w:rsidR="00346133">
        <w:rPr>
          <w:sz w:val="20"/>
          <w:szCs w:val="20"/>
        </w:rPr>
        <w:t xml:space="preserve">regarding </w:t>
      </w:r>
      <w:r w:rsidRPr="00C37273">
        <w:rPr>
          <w:sz w:val="20"/>
          <w:szCs w:val="20"/>
        </w:rPr>
        <w:t>notification</w:t>
      </w:r>
      <w:r w:rsidR="00346133">
        <w:rPr>
          <w:sz w:val="20"/>
          <w:szCs w:val="20"/>
        </w:rPr>
        <w:t xml:space="preserve"> content in </w:t>
      </w:r>
      <w:r w:rsidRPr="00C37273">
        <w:rPr>
          <w:sz w:val="20"/>
          <w:szCs w:val="20"/>
        </w:rPr>
        <w:t>SEA procedures</w:t>
      </w:r>
      <w:r w:rsidR="00346133">
        <w:rPr>
          <w:sz w:val="20"/>
          <w:szCs w:val="20"/>
        </w:rPr>
        <w:t xml:space="preserve"> in the selected Kiev Protocol Parties</w:t>
      </w:r>
      <w:r w:rsidRPr="00C37273">
        <w:rPr>
          <w:sz w:val="20"/>
          <w:szCs w:val="20"/>
        </w:rPr>
        <w:t xml:space="preserve"> </w:t>
      </w:r>
    </w:p>
    <w:tbl>
      <w:tblPr>
        <w:tblStyle w:val="TableGrid"/>
        <w:tblW w:w="0" w:type="auto"/>
        <w:tblLook w:val="04A0" w:firstRow="1" w:lastRow="0" w:firstColumn="1" w:lastColumn="0" w:noHBand="0" w:noVBand="1"/>
      </w:tblPr>
      <w:tblGrid>
        <w:gridCol w:w="1555"/>
        <w:gridCol w:w="7505"/>
      </w:tblGrid>
      <w:tr w:rsidR="009E3680" w14:paraId="6A0C7E12" w14:textId="77777777" w:rsidTr="00C847C1">
        <w:tc>
          <w:tcPr>
            <w:tcW w:w="1555" w:type="dxa"/>
            <w:shd w:val="clear" w:color="auto" w:fill="9CC2E5" w:themeFill="accent1" w:themeFillTint="99"/>
          </w:tcPr>
          <w:p w14:paraId="4EECA366" w14:textId="77777777" w:rsidR="009E3680" w:rsidRPr="00642F49" w:rsidRDefault="009E3680" w:rsidP="00C847C1">
            <w:pPr>
              <w:rPr>
                <w:b/>
              </w:rPr>
            </w:pPr>
            <w:r w:rsidRPr="00642F49">
              <w:rPr>
                <w:b/>
              </w:rPr>
              <w:t xml:space="preserve">Party of Origin  </w:t>
            </w:r>
          </w:p>
        </w:tc>
        <w:tc>
          <w:tcPr>
            <w:tcW w:w="7505" w:type="dxa"/>
            <w:shd w:val="clear" w:color="auto" w:fill="9CC2E5" w:themeFill="accent1" w:themeFillTint="99"/>
          </w:tcPr>
          <w:p w14:paraId="6745564C" w14:textId="77777777" w:rsidR="009E3680" w:rsidRPr="00642F49" w:rsidRDefault="009E3680" w:rsidP="00C847C1">
            <w:pPr>
              <w:rPr>
                <w:b/>
              </w:rPr>
            </w:pPr>
            <w:r w:rsidRPr="00642F49">
              <w:rPr>
                <w:b/>
              </w:rPr>
              <w:t xml:space="preserve">Information included in SEA notification </w:t>
            </w:r>
          </w:p>
        </w:tc>
      </w:tr>
      <w:tr w:rsidR="009E3680" w14:paraId="401573F2" w14:textId="77777777" w:rsidTr="00C847C1">
        <w:tc>
          <w:tcPr>
            <w:tcW w:w="1555" w:type="dxa"/>
          </w:tcPr>
          <w:p w14:paraId="7C4D57EB" w14:textId="77777777" w:rsidR="009E3680" w:rsidRPr="00642F49" w:rsidRDefault="009E3680" w:rsidP="00C847C1">
            <w:pPr>
              <w:rPr>
                <w:sz w:val="20"/>
                <w:szCs w:val="20"/>
              </w:rPr>
            </w:pPr>
            <w:r w:rsidRPr="00642F49">
              <w:rPr>
                <w:sz w:val="20"/>
                <w:szCs w:val="20"/>
              </w:rPr>
              <w:t xml:space="preserve">Bosnia and Herzegovina </w:t>
            </w:r>
          </w:p>
        </w:tc>
        <w:tc>
          <w:tcPr>
            <w:tcW w:w="7505" w:type="dxa"/>
          </w:tcPr>
          <w:p w14:paraId="3E32DB57" w14:textId="5D0D2239" w:rsidR="009E3680" w:rsidRPr="00950C37" w:rsidRDefault="009E3680" w:rsidP="00C847C1">
            <w:pPr>
              <w:rPr>
                <w:sz w:val="20"/>
                <w:szCs w:val="20"/>
              </w:rPr>
            </w:pPr>
            <w:r>
              <w:rPr>
                <w:sz w:val="20"/>
                <w:szCs w:val="20"/>
              </w:rPr>
              <w:t>I</w:t>
            </w:r>
            <w:r w:rsidRPr="00950C37">
              <w:rPr>
                <w:sz w:val="20"/>
                <w:szCs w:val="20"/>
              </w:rPr>
              <w:t xml:space="preserve">nformation about the transboundary impacts of the plan </w:t>
            </w:r>
            <w:r w:rsidR="00F27150">
              <w:rPr>
                <w:sz w:val="20"/>
                <w:szCs w:val="20"/>
              </w:rPr>
              <w:t xml:space="preserve">or </w:t>
            </w:r>
            <w:r w:rsidRPr="00950C37">
              <w:rPr>
                <w:sz w:val="20"/>
                <w:szCs w:val="20"/>
              </w:rPr>
              <w:t>programme (if identified)</w:t>
            </w:r>
          </w:p>
        </w:tc>
      </w:tr>
      <w:tr w:rsidR="009E3680" w14:paraId="45EDCBE2" w14:textId="77777777" w:rsidTr="00C847C1">
        <w:tc>
          <w:tcPr>
            <w:tcW w:w="1555" w:type="dxa"/>
          </w:tcPr>
          <w:p w14:paraId="120DCE81" w14:textId="77777777" w:rsidR="009E3680" w:rsidRPr="00642F49" w:rsidRDefault="009E3680" w:rsidP="00C847C1">
            <w:pPr>
              <w:rPr>
                <w:sz w:val="20"/>
                <w:szCs w:val="20"/>
              </w:rPr>
            </w:pPr>
            <w:r>
              <w:rPr>
                <w:sz w:val="20"/>
                <w:szCs w:val="20"/>
              </w:rPr>
              <w:t>Estonia</w:t>
            </w:r>
          </w:p>
        </w:tc>
        <w:tc>
          <w:tcPr>
            <w:tcW w:w="7505" w:type="dxa"/>
          </w:tcPr>
          <w:p w14:paraId="36B7D832" w14:textId="4454D871" w:rsidR="009E3680" w:rsidRPr="00950C37" w:rsidRDefault="009E3680" w:rsidP="00C847C1">
            <w:pPr>
              <w:rPr>
                <w:sz w:val="20"/>
                <w:szCs w:val="20"/>
              </w:rPr>
            </w:pPr>
            <w:r>
              <w:rPr>
                <w:sz w:val="20"/>
                <w:szCs w:val="20"/>
              </w:rPr>
              <w:t>N</w:t>
            </w:r>
            <w:r w:rsidRPr="00950C37">
              <w:rPr>
                <w:sz w:val="20"/>
                <w:szCs w:val="20"/>
              </w:rPr>
              <w:t>ame and description of the strategic planning document</w:t>
            </w:r>
            <w:r>
              <w:rPr>
                <w:sz w:val="20"/>
                <w:szCs w:val="20"/>
              </w:rPr>
              <w:t xml:space="preserve">; </w:t>
            </w:r>
            <w:r w:rsidRPr="00950C37">
              <w:rPr>
                <w:sz w:val="20"/>
                <w:szCs w:val="20"/>
              </w:rPr>
              <w:t>information on the person who prepares and adopts it</w:t>
            </w:r>
            <w:r>
              <w:rPr>
                <w:sz w:val="20"/>
                <w:szCs w:val="20"/>
              </w:rPr>
              <w:t xml:space="preserve">; </w:t>
            </w:r>
            <w:r w:rsidRPr="00950C37">
              <w:rPr>
                <w:sz w:val="20"/>
                <w:szCs w:val="20"/>
              </w:rPr>
              <w:t>schedules for the preparation of the document and for carrying out the SEA</w:t>
            </w:r>
            <w:r>
              <w:rPr>
                <w:sz w:val="20"/>
                <w:szCs w:val="20"/>
              </w:rPr>
              <w:t xml:space="preserve">; </w:t>
            </w:r>
            <w:r w:rsidRPr="00950C37">
              <w:rPr>
                <w:sz w:val="20"/>
                <w:szCs w:val="20"/>
              </w:rPr>
              <w:t>a short description of the likely environmental impacts</w:t>
            </w:r>
            <w:r>
              <w:rPr>
                <w:sz w:val="20"/>
                <w:szCs w:val="20"/>
              </w:rPr>
              <w:t xml:space="preserve">; </w:t>
            </w:r>
            <w:r w:rsidRPr="00950C37">
              <w:rPr>
                <w:sz w:val="20"/>
                <w:szCs w:val="20"/>
              </w:rPr>
              <w:t>and the deadline for responding to the notif</w:t>
            </w:r>
            <w:r w:rsidR="00346133">
              <w:rPr>
                <w:sz w:val="20"/>
                <w:szCs w:val="20"/>
              </w:rPr>
              <w:t>ication and submitting comments</w:t>
            </w:r>
          </w:p>
        </w:tc>
      </w:tr>
      <w:tr w:rsidR="009E3680" w14:paraId="45C0D878" w14:textId="77777777" w:rsidTr="00C847C1">
        <w:tc>
          <w:tcPr>
            <w:tcW w:w="1555" w:type="dxa"/>
          </w:tcPr>
          <w:p w14:paraId="4EB36F26" w14:textId="77777777" w:rsidR="009E3680" w:rsidRPr="00642F49" w:rsidRDefault="009E3680" w:rsidP="00C847C1">
            <w:pPr>
              <w:rPr>
                <w:sz w:val="20"/>
                <w:szCs w:val="20"/>
              </w:rPr>
            </w:pPr>
            <w:r>
              <w:rPr>
                <w:sz w:val="20"/>
                <w:szCs w:val="20"/>
              </w:rPr>
              <w:t xml:space="preserve">Germany </w:t>
            </w:r>
          </w:p>
        </w:tc>
        <w:tc>
          <w:tcPr>
            <w:tcW w:w="7505" w:type="dxa"/>
          </w:tcPr>
          <w:p w14:paraId="54BBDAAC" w14:textId="1E752D8E" w:rsidR="009E3680" w:rsidRPr="00950C37" w:rsidRDefault="009E3680" w:rsidP="00C847C1">
            <w:pPr>
              <w:rPr>
                <w:sz w:val="20"/>
                <w:szCs w:val="20"/>
              </w:rPr>
            </w:pPr>
            <w:r>
              <w:rPr>
                <w:sz w:val="20"/>
                <w:szCs w:val="20"/>
              </w:rPr>
              <w:t>I</w:t>
            </w:r>
            <w:r w:rsidRPr="00950C37">
              <w:rPr>
                <w:sz w:val="20"/>
                <w:szCs w:val="20"/>
              </w:rPr>
              <w:t>nformation on the plan or programme (as far as already available), on the planning and decision-making procedu</w:t>
            </w:r>
            <w:r w:rsidR="00346133">
              <w:rPr>
                <w:sz w:val="20"/>
                <w:szCs w:val="20"/>
              </w:rPr>
              <w:t>re and on the scoping procedure</w:t>
            </w:r>
          </w:p>
        </w:tc>
      </w:tr>
      <w:tr w:rsidR="009E3680" w14:paraId="241CDFDA" w14:textId="77777777" w:rsidTr="00C847C1">
        <w:tc>
          <w:tcPr>
            <w:tcW w:w="1555" w:type="dxa"/>
          </w:tcPr>
          <w:p w14:paraId="123D4139" w14:textId="77777777" w:rsidR="009E3680" w:rsidRDefault="009E3680" w:rsidP="00C847C1">
            <w:pPr>
              <w:rPr>
                <w:sz w:val="20"/>
                <w:szCs w:val="20"/>
              </w:rPr>
            </w:pPr>
            <w:r w:rsidRPr="00732EB8">
              <w:t>Hungary</w:t>
            </w:r>
          </w:p>
        </w:tc>
        <w:tc>
          <w:tcPr>
            <w:tcW w:w="7505" w:type="dxa"/>
          </w:tcPr>
          <w:p w14:paraId="52FBE213" w14:textId="10615CC2" w:rsidR="009E3680" w:rsidRPr="00950C37" w:rsidRDefault="009E3680" w:rsidP="00C847C1">
            <w:pPr>
              <w:rPr>
                <w:sz w:val="20"/>
                <w:szCs w:val="20"/>
              </w:rPr>
            </w:pPr>
            <w:r>
              <w:rPr>
                <w:sz w:val="20"/>
                <w:szCs w:val="20"/>
              </w:rPr>
              <w:t>E</w:t>
            </w:r>
            <w:r w:rsidRPr="00950C37">
              <w:rPr>
                <w:sz w:val="20"/>
                <w:szCs w:val="20"/>
              </w:rPr>
              <w:t>ntire consultation documentation of the plan or programme, the environmental report, the description of the decision-making process, information on public participation and a request to respond</w:t>
            </w:r>
          </w:p>
        </w:tc>
      </w:tr>
      <w:tr w:rsidR="009E3680" w14:paraId="7C4F8F04" w14:textId="77777777" w:rsidTr="00C847C1">
        <w:tc>
          <w:tcPr>
            <w:tcW w:w="1555" w:type="dxa"/>
          </w:tcPr>
          <w:p w14:paraId="02C465B9" w14:textId="77777777" w:rsidR="009E3680" w:rsidRDefault="009E3680" w:rsidP="00C847C1">
            <w:pPr>
              <w:rPr>
                <w:sz w:val="20"/>
                <w:szCs w:val="20"/>
              </w:rPr>
            </w:pPr>
            <w:r>
              <w:rPr>
                <w:sz w:val="20"/>
                <w:szCs w:val="20"/>
              </w:rPr>
              <w:t xml:space="preserve">Slovenia </w:t>
            </w:r>
          </w:p>
        </w:tc>
        <w:tc>
          <w:tcPr>
            <w:tcW w:w="7505" w:type="dxa"/>
          </w:tcPr>
          <w:p w14:paraId="437F0E2C" w14:textId="02302C7D" w:rsidR="009E3680" w:rsidRPr="00950C37" w:rsidRDefault="009E3680" w:rsidP="00C847C1">
            <w:pPr>
              <w:rPr>
                <w:sz w:val="20"/>
                <w:szCs w:val="20"/>
              </w:rPr>
            </w:pPr>
            <w:r>
              <w:rPr>
                <w:sz w:val="20"/>
                <w:szCs w:val="20"/>
              </w:rPr>
              <w:t>D</w:t>
            </w:r>
            <w:r w:rsidRPr="00950C37">
              <w:rPr>
                <w:sz w:val="20"/>
                <w:szCs w:val="20"/>
              </w:rPr>
              <w:t>raft plan or programme and the environmental report</w:t>
            </w:r>
          </w:p>
        </w:tc>
      </w:tr>
    </w:tbl>
    <w:p w14:paraId="132E85EA" w14:textId="3E826760" w:rsidR="009E3680" w:rsidRPr="00C37273" w:rsidRDefault="009E3680" w:rsidP="009E3680">
      <w:pPr>
        <w:spacing w:after="0" w:line="240" w:lineRule="auto"/>
        <w:rPr>
          <w:sz w:val="20"/>
          <w:szCs w:val="20"/>
        </w:rPr>
      </w:pPr>
      <w:r w:rsidRPr="00C37273">
        <w:rPr>
          <w:sz w:val="20"/>
          <w:szCs w:val="20"/>
        </w:rPr>
        <w:t xml:space="preserve">Source: UNECE Second review of implementation of the Protocol on Strategic Environmental Assessment 2013-2015 (ECE/MP.EIA/SEA/9) </w:t>
      </w:r>
    </w:p>
    <w:p w14:paraId="7AD4266A" w14:textId="77777777" w:rsidR="009E3680" w:rsidRPr="00C454F9" w:rsidRDefault="009E3680" w:rsidP="00950C37">
      <w:pPr>
        <w:spacing w:after="0" w:line="240" w:lineRule="auto"/>
      </w:pPr>
    </w:p>
    <w:p w14:paraId="66949A96" w14:textId="77777777" w:rsidR="00327FED" w:rsidRDefault="00327FED" w:rsidP="00327FED">
      <w:pPr>
        <w:spacing w:after="0" w:line="240" w:lineRule="auto"/>
      </w:pPr>
      <w:r>
        <w:t>Notification should be sent to the responsible (competent) authority for the EIA/ SEA procedure, which may coincide with official points of contact for the Espoo Convention/ Kiev Protocol (in the Parties to UNECE agreements). Barcelona Convention and/ or ICZM Protocol Focal Points (as appropriate) should be informed of the notification, and for the BC Contracting Parties that have not ratified the UNECE agreements, they may act as a principal recipient of the notification together with nationally designated competent authorities</w:t>
      </w:r>
      <w:r>
        <w:rPr>
          <w:rStyle w:val="FootnoteReference"/>
        </w:rPr>
        <w:footnoteReference w:id="14"/>
      </w:r>
      <w:r>
        <w:t xml:space="preserve">. </w:t>
      </w:r>
    </w:p>
    <w:p w14:paraId="5340589E" w14:textId="77777777" w:rsidR="00327FED" w:rsidRDefault="00327FED" w:rsidP="00347274">
      <w:pPr>
        <w:spacing w:after="0" w:line="240" w:lineRule="auto"/>
      </w:pPr>
    </w:p>
    <w:p w14:paraId="37D2AA7E" w14:textId="77777777" w:rsidR="00673E22" w:rsidRDefault="00475E81" w:rsidP="00347274">
      <w:pPr>
        <w:spacing w:after="0" w:line="240" w:lineRule="auto"/>
      </w:pPr>
      <w:r>
        <w:t>N</w:t>
      </w:r>
      <w:r w:rsidR="00673E22">
        <w:t xml:space="preserve">otification </w:t>
      </w:r>
      <w:r>
        <w:t xml:space="preserve">should be </w:t>
      </w:r>
      <w:r w:rsidR="00673E22">
        <w:t xml:space="preserve">translated into the language </w:t>
      </w:r>
      <w:r>
        <w:t xml:space="preserve">used in the </w:t>
      </w:r>
      <w:r w:rsidR="00673E22">
        <w:t>affected country; alternatively, English</w:t>
      </w:r>
      <w:r>
        <w:t>, French</w:t>
      </w:r>
      <w:r w:rsidR="0014424B">
        <w:t xml:space="preserve">, Arabic </w:t>
      </w:r>
      <w:r w:rsidR="00673E22">
        <w:t>or other languages</w:t>
      </w:r>
      <w:r>
        <w:t xml:space="preserve"> shared by the concerned </w:t>
      </w:r>
      <w:r w:rsidR="00F4535D">
        <w:t xml:space="preserve">countries </w:t>
      </w:r>
      <w:r w:rsidR="00673E22">
        <w:t>could be used</w:t>
      </w:r>
      <w:r w:rsidR="00F4535D">
        <w:t xml:space="preserve">. The language of notification and </w:t>
      </w:r>
      <w:r w:rsidR="00B71895">
        <w:t xml:space="preserve">of any </w:t>
      </w:r>
      <w:r w:rsidR="00F4535D">
        <w:t>subsequent exchange of information should be agreed among the concerned countries at the onset of the process</w:t>
      </w:r>
      <w:r w:rsidR="00E20284">
        <w:t xml:space="preserve"> (or through the applicable bilateral or multilateral agreements)</w:t>
      </w:r>
      <w:r w:rsidR="00F4535D">
        <w:t xml:space="preserve">. </w:t>
      </w:r>
      <w:r w:rsidR="0014424B">
        <w:t xml:space="preserve">A cost-effective approach should be applied: language barriers </w:t>
      </w:r>
      <w:r w:rsidR="003C315E">
        <w:t xml:space="preserve">should not </w:t>
      </w:r>
      <w:r w:rsidR="0014424B">
        <w:t>hinder effective</w:t>
      </w:r>
      <w:r w:rsidR="003C315E">
        <w:t>ness of the transboundary procedures</w:t>
      </w:r>
      <w:r w:rsidR="00C9563E">
        <w:t xml:space="preserve"> (i.e. all the key information in all the assessment steps subject to transboundary cooperation should be translated)</w:t>
      </w:r>
      <w:r w:rsidR="003C315E">
        <w:t xml:space="preserve"> whereas translation costs should be kept as low as possible. </w:t>
      </w:r>
    </w:p>
    <w:p w14:paraId="27E37286" w14:textId="77777777" w:rsidR="003C315E" w:rsidRDefault="003C315E" w:rsidP="00950C37">
      <w:pPr>
        <w:spacing w:after="0" w:line="240" w:lineRule="auto"/>
      </w:pPr>
    </w:p>
    <w:p w14:paraId="5BAD54D9" w14:textId="337E0D8F" w:rsidR="00601D5D" w:rsidRDefault="00673E22" w:rsidP="00950C37">
      <w:pPr>
        <w:spacing w:after="0" w:line="240" w:lineRule="auto"/>
      </w:pPr>
      <w:r>
        <w:t xml:space="preserve">The affected countries </w:t>
      </w:r>
      <w:r w:rsidR="00F4535D">
        <w:t xml:space="preserve">should respond </w:t>
      </w:r>
      <w:r>
        <w:t>to the notification</w:t>
      </w:r>
      <w:r w:rsidR="00F4535D">
        <w:t xml:space="preserve"> in a timely manner, to state their </w:t>
      </w:r>
      <w:r>
        <w:t>intention to participate in the transboundary procedure</w:t>
      </w:r>
      <w:r w:rsidR="00F4535D">
        <w:t xml:space="preserve"> or to </w:t>
      </w:r>
      <w:r w:rsidR="00E20284">
        <w:t>decline</w:t>
      </w:r>
      <w:r w:rsidR="003C315E">
        <w:t xml:space="preserve"> participation</w:t>
      </w:r>
      <w:r w:rsidR="00E20284">
        <w:t xml:space="preserve">. </w:t>
      </w:r>
      <w:r w:rsidR="00F4535D">
        <w:t xml:space="preserve">Providing a timely negative response is important for the country of origin to </w:t>
      </w:r>
      <w:r w:rsidR="00404F68">
        <w:t xml:space="preserve">proceed </w:t>
      </w:r>
      <w:r w:rsidR="00F4535D">
        <w:t xml:space="preserve">with national procedures without delay. </w:t>
      </w:r>
      <w:r>
        <w:t xml:space="preserve">Absence of a timely response may be understood as a lack of </w:t>
      </w:r>
      <w:r w:rsidR="00F4535D">
        <w:t xml:space="preserve">interest </w:t>
      </w:r>
      <w:r>
        <w:t xml:space="preserve">to </w:t>
      </w:r>
      <w:r w:rsidR="00F4535D">
        <w:t xml:space="preserve">take part in the transboundary procedure. </w:t>
      </w:r>
    </w:p>
    <w:p w14:paraId="239CDE54" w14:textId="77777777" w:rsidR="00F4535D" w:rsidRDefault="00F4535D" w:rsidP="00950C37">
      <w:pPr>
        <w:spacing w:after="0" w:line="240" w:lineRule="auto"/>
      </w:pPr>
    </w:p>
    <w:p w14:paraId="5409F9A8" w14:textId="77777777" w:rsidR="00F4535D" w:rsidRDefault="00F4535D" w:rsidP="00950C37">
      <w:pPr>
        <w:spacing w:after="0" w:line="240" w:lineRule="auto"/>
      </w:pPr>
      <w:r>
        <w:t>The competent authority</w:t>
      </w:r>
      <w:r w:rsidR="00B71895">
        <w:t xml:space="preserve"> </w:t>
      </w:r>
      <w:r>
        <w:t>of the country of origin may send a request to the competent authority of the affected country</w:t>
      </w:r>
      <w:r w:rsidR="003C315E">
        <w:t xml:space="preserve"> </w:t>
      </w:r>
      <w:r>
        <w:t>to provide reasonably obtainable information relating to the potentially affected environment, once the affected country has confirmed its participation</w:t>
      </w:r>
      <w:r w:rsidR="00C52E50">
        <w:t xml:space="preserve">. The affected country should provide such information promptly. </w:t>
      </w:r>
      <w:r>
        <w:t xml:space="preserve"> </w:t>
      </w:r>
    </w:p>
    <w:p w14:paraId="1DBB8444" w14:textId="77777777" w:rsidR="00012114" w:rsidRDefault="00012114" w:rsidP="00950C37">
      <w:pPr>
        <w:spacing w:after="0" w:line="240" w:lineRule="auto"/>
      </w:pPr>
    </w:p>
    <w:p w14:paraId="3DCDDD33" w14:textId="77777777" w:rsidR="00B515F9" w:rsidRDefault="00B515F9" w:rsidP="00B515F9">
      <w:r>
        <w:t>GOOD PRACTICE RECOMMENDATIONS</w:t>
      </w:r>
    </w:p>
    <w:p w14:paraId="1DABC5B8" w14:textId="3D73BAAE" w:rsidR="005D5C44" w:rsidRDefault="00902622" w:rsidP="005028DC">
      <w:pPr>
        <w:pStyle w:val="ListParagraph"/>
        <w:numPr>
          <w:ilvl w:val="0"/>
          <w:numId w:val="16"/>
        </w:numPr>
        <w:spacing w:after="0" w:line="240" w:lineRule="auto"/>
      </w:pPr>
      <w:r>
        <w:t>I</w:t>
      </w:r>
      <w:r w:rsidR="005D5C44" w:rsidRPr="00C454F9">
        <w:t xml:space="preserve">nformal pre-notification contacts </w:t>
      </w:r>
      <w:r w:rsidR="00E20284">
        <w:t>(i</w:t>
      </w:r>
      <w:r w:rsidR="00F27150">
        <w:t>f</w:t>
      </w:r>
      <w:r w:rsidR="00E20284">
        <w:t xml:space="preserve"> formal arrangements</w:t>
      </w:r>
      <w:r w:rsidR="003C315E">
        <w:t xml:space="preserve"> are not in place</w:t>
      </w:r>
      <w:r w:rsidR="00E20284">
        <w:t xml:space="preserve">) </w:t>
      </w:r>
      <w:r w:rsidR="005D5C44" w:rsidRPr="00C454F9">
        <w:t>are highly recommendable.</w:t>
      </w:r>
    </w:p>
    <w:p w14:paraId="1034ABFA" w14:textId="0303B356" w:rsidR="00B71895" w:rsidRDefault="007935F3" w:rsidP="00701A98">
      <w:pPr>
        <w:pStyle w:val="ListParagraph"/>
        <w:numPr>
          <w:ilvl w:val="0"/>
          <w:numId w:val="16"/>
        </w:numPr>
        <w:spacing w:after="0" w:line="240" w:lineRule="auto"/>
        <w:rPr>
          <w:color w:val="000000" w:themeColor="text1"/>
        </w:rPr>
      </w:pPr>
      <w:r w:rsidRPr="00FB0C83">
        <w:rPr>
          <w:color w:val="000000" w:themeColor="text1"/>
        </w:rPr>
        <w:lastRenderedPageBreak/>
        <w:t xml:space="preserve">It is preferred that affected countries are notified </w:t>
      </w:r>
      <w:r w:rsidR="00601D5D" w:rsidRPr="00FB0C83">
        <w:rPr>
          <w:color w:val="000000" w:themeColor="text1"/>
        </w:rPr>
        <w:t>before scoping</w:t>
      </w:r>
      <w:r w:rsidR="00FB0C83">
        <w:rPr>
          <w:color w:val="000000" w:themeColor="text1"/>
        </w:rPr>
        <w:t>.</w:t>
      </w:r>
    </w:p>
    <w:p w14:paraId="1D4534B5" w14:textId="77777777" w:rsidR="00FB0C83" w:rsidRPr="00FB0C83" w:rsidRDefault="00FB0C83" w:rsidP="00FB0C83">
      <w:pPr>
        <w:spacing w:after="0" w:line="240" w:lineRule="auto"/>
        <w:rPr>
          <w:color w:val="000000" w:themeColor="text1"/>
        </w:rPr>
      </w:pPr>
    </w:p>
    <w:p w14:paraId="4FB66252" w14:textId="77777777" w:rsidR="008E2648" w:rsidRDefault="00C52E50" w:rsidP="005028DC">
      <w:pPr>
        <w:pStyle w:val="ListParagraph"/>
        <w:numPr>
          <w:ilvl w:val="0"/>
          <w:numId w:val="16"/>
        </w:numPr>
        <w:spacing w:after="0" w:line="240" w:lineRule="auto"/>
      </w:pPr>
      <w:r>
        <w:t xml:space="preserve">Country of origin may start preliminary consultations </w:t>
      </w:r>
      <w:r w:rsidR="002335AF">
        <w:t xml:space="preserve">(unless bilateral/ multilateral agreements on administrative arrangements are already in place) </w:t>
      </w:r>
      <w:r>
        <w:t xml:space="preserve">with the affected countries responding positively to notification to plan and agree </w:t>
      </w:r>
      <w:r w:rsidR="00B71895">
        <w:t xml:space="preserve">on </w:t>
      </w:r>
      <w:r>
        <w:t>next steps, including: provision of relevant documentation; definition of the time, form and number of consultations; identification of the persons responsible and their contact information</w:t>
      </w:r>
      <w:r w:rsidR="00B71895">
        <w:t>, and similar</w:t>
      </w:r>
      <w:r>
        <w:t xml:space="preserve">. </w:t>
      </w:r>
      <w:r w:rsidR="008E2648">
        <w:t xml:space="preserve">In this process, it is helpful to </w:t>
      </w:r>
      <w:r w:rsidR="00962920">
        <w:t xml:space="preserve">share among concerned countries concise </w:t>
      </w:r>
      <w:r w:rsidR="008E2648">
        <w:t xml:space="preserve">information on the national </w:t>
      </w:r>
      <w:r w:rsidR="00962920">
        <w:t xml:space="preserve">EIA and SEA procedures, including on the </w:t>
      </w:r>
      <w:r w:rsidR="008E2648">
        <w:t>key step</w:t>
      </w:r>
      <w:r w:rsidR="00E20284">
        <w:t>s for consultation and decision-m</w:t>
      </w:r>
      <w:r w:rsidR="008E2648">
        <w:t xml:space="preserve">aking, </w:t>
      </w:r>
      <w:r w:rsidR="00962920">
        <w:t xml:space="preserve">and </w:t>
      </w:r>
      <w:r w:rsidR="00B71895">
        <w:t xml:space="preserve">on </w:t>
      </w:r>
      <w:r w:rsidR="008E2648">
        <w:t xml:space="preserve">minimum </w:t>
      </w:r>
      <w:r w:rsidR="00962920">
        <w:t xml:space="preserve">public </w:t>
      </w:r>
      <w:r w:rsidR="008E2648">
        <w:t xml:space="preserve">consultation time </w:t>
      </w:r>
      <w:r w:rsidR="00962920">
        <w:t xml:space="preserve">requirements. </w:t>
      </w:r>
    </w:p>
    <w:p w14:paraId="22E6CF17" w14:textId="77777777" w:rsidR="00C37273" w:rsidRDefault="00C37273" w:rsidP="00950C37">
      <w:pPr>
        <w:spacing w:after="0" w:line="240" w:lineRule="auto"/>
      </w:pPr>
    </w:p>
    <w:p w14:paraId="0BA35D08" w14:textId="77777777" w:rsidR="00C13CF4" w:rsidRDefault="00C37273" w:rsidP="005028DC">
      <w:pPr>
        <w:pStyle w:val="ListParagraph"/>
        <w:numPr>
          <w:ilvl w:val="0"/>
          <w:numId w:val="16"/>
        </w:numPr>
        <w:spacing w:after="0" w:line="240" w:lineRule="auto"/>
      </w:pPr>
      <w:r>
        <w:t xml:space="preserve">In the EIA procedure, </w:t>
      </w:r>
      <w:r w:rsidR="00C13CF4" w:rsidRPr="00C13CF4">
        <w:t>to avoid the need to supply additional information in the future, the notification may contain more detailed information on the key characteristics of the proposed activity and its possible significant adverse impact, as well as relevant information on the assessment procedure</w:t>
      </w:r>
      <w:r w:rsidR="001167CD">
        <w:t>s</w:t>
      </w:r>
      <w:r w:rsidR="00C13CF4" w:rsidRPr="00C13CF4">
        <w:t>, including an indication of the time schedule for the transmittal of comments</w:t>
      </w:r>
      <w:r>
        <w:t xml:space="preserve">. </w:t>
      </w:r>
    </w:p>
    <w:p w14:paraId="1534ADD0" w14:textId="77777777" w:rsidR="00C37273" w:rsidRDefault="00C37273" w:rsidP="00950C37">
      <w:pPr>
        <w:spacing w:after="0" w:line="240" w:lineRule="auto"/>
      </w:pPr>
    </w:p>
    <w:p w14:paraId="20FCB6FE" w14:textId="77777777" w:rsidR="00025C13" w:rsidRDefault="00C37273" w:rsidP="005028DC">
      <w:pPr>
        <w:pStyle w:val="ListParagraph"/>
        <w:numPr>
          <w:ilvl w:val="0"/>
          <w:numId w:val="16"/>
        </w:numPr>
        <w:spacing w:after="0" w:line="240" w:lineRule="auto"/>
      </w:pPr>
      <w:r>
        <w:t>A</w:t>
      </w:r>
      <w:r w:rsidR="00025C13">
        <w:t>t the request of the country of origin, the potentially affected country may also</w:t>
      </w:r>
      <w:r>
        <w:t xml:space="preserve"> (in addition to environmental) </w:t>
      </w:r>
      <w:r w:rsidR="00025C13">
        <w:t xml:space="preserve">provide information on the socioeconomic situation in the </w:t>
      </w:r>
      <w:r>
        <w:t xml:space="preserve">areas </w:t>
      </w:r>
      <w:r w:rsidR="00025C13">
        <w:t>that may be affected by a significant adverse transboundary impact.</w:t>
      </w:r>
    </w:p>
    <w:p w14:paraId="1A04EB1E" w14:textId="77777777" w:rsidR="00E65F18" w:rsidRDefault="00E65F18" w:rsidP="00950C37">
      <w:pPr>
        <w:spacing w:after="0" w:line="240" w:lineRule="auto"/>
        <w:rPr>
          <w:color w:val="5B9BD5" w:themeColor="accent1"/>
        </w:rPr>
      </w:pPr>
    </w:p>
    <w:p w14:paraId="49BCA441" w14:textId="77777777" w:rsidR="00962920" w:rsidRPr="002335AF" w:rsidRDefault="002335AF" w:rsidP="005028DC">
      <w:pPr>
        <w:pStyle w:val="ListParagraph"/>
        <w:numPr>
          <w:ilvl w:val="0"/>
          <w:numId w:val="16"/>
        </w:numPr>
        <w:spacing w:after="0" w:line="240" w:lineRule="auto"/>
        <w:rPr>
          <w:color w:val="000000" w:themeColor="text1"/>
        </w:rPr>
      </w:pPr>
      <w:r w:rsidRPr="002335AF">
        <w:rPr>
          <w:color w:val="000000" w:themeColor="text1"/>
        </w:rPr>
        <w:t xml:space="preserve">Setting up of a </w:t>
      </w:r>
      <w:r w:rsidR="00962920" w:rsidRPr="002335AF">
        <w:rPr>
          <w:color w:val="000000" w:themeColor="text1"/>
        </w:rPr>
        <w:t>dedicated web-page with information on the EIA and SEA process</w:t>
      </w:r>
      <w:r w:rsidRPr="002335AF">
        <w:rPr>
          <w:color w:val="000000" w:themeColor="text1"/>
        </w:rPr>
        <w:t xml:space="preserve">, </w:t>
      </w:r>
      <w:r w:rsidR="00962920" w:rsidRPr="002335AF">
        <w:rPr>
          <w:color w:val="000000" w:themeColor="text1"/>
        </w:rPr>
        <w:t>highlighting key bodies that need to be involved/</w:t>
      </w:r>
      <w:r w:rsidRPr="002335AF">
        <w:rPr>
          <w:color w:val="000000" w:themeColor="text1"/>
        </w:rPr>
        <w:t xml:space="preserve"> </w:t>
      </w:r>
      <w:r w:rsidR="00962920" w:rsidRPr="002335AF">
        <w:rPr>
          <w:color w:val="000000" w:themeColor="text1"/>
        </w:rPr>
        <w:t>contacted for transboundary consultations, including NGOs</w:t>
      </w:r>
      <w:r w:rsidRPr="002335AF">
        <w:rPr>
          <w:color w:val="000000" w:themeColor="text1"/>
        </w:rPr>
        <w:t xml:space="preserve">, is recommended.  </w:t>
      </w:r>
    </w:p>
    <w:p w14:paraId="64F640F4" w14:textId="77777777" w:rsidR="00C37273" w:rsidRDefault="00C37273" w:rsidP="00950C37">
      <w:pPr>
        <w:spacing w:after="0" w:line="240" w:lineRule="auto"/>
      </w:pPr>
    </w:p>
    <w:p w14:paraId="5626CDB2" w14:textId="77777777" w:rsidR="00673E22" w:rsidRDefault="00673E22" w:rsidP="005028DC">
      <w:pPr>
        <w:pStyle w:val="ListParagraph"/>
        <w:numPr>
          <w:ilvl w:val="0"/>
          <w:numId w:val="16"/>
        </w:numPr>
        <w:spacing w:after="0" w:line="240" w:lineRule="auto"/>
      </w:pPr>
      <w:r>
        <w:t xml:space="preserve">The list of points of contact for notification </w:t>
      </w:r>
      <w:r w:rsidR="00962920">
        <w:t xml:space="preserve">(including Espoo and Kiev Protocol points of contact </w:t>
      </w:r>
      <w:r w:rsidR="00271DB4">
        <w:t xml:space="preserve">and </w:t>
      </w:r>
      <w:r w:rsidR="00962920">
        <w:t xml:space="preserve">national competent authorities in the countries that are not </w:t>
      </w:r>
      <w:r w:rsidR="001167CD">
        <w:t>P</w:t>
      </w:r>
      <w:r w:rsidR="00271DB4">
        <w:t>arties to UNECE agreements</w:t>
      </w:r>
      <w:r w:rsidR="00962920">
        <w:t xml:space="preserve">) </w:t>
      </w:r>
      <w:r w:rsidR="001849A5">
        <w:t xml:space="preserve">should </w:t>
      </w:r>
      <w:r>
        <w:t>be kept on the Barc</w:t>
      </w:r>
      <w:r w:rsidR="00962920">
        <w:t>e</w:t>
      </w:r>
      <w:r>
        <w:t>lona Convention website</w:t>
      </w:r>
      <w:r w:rsidR="00962920">
        <w:t>/ in the MAP Info</w:t>
      </w:r>
      <w:r w:rsidR="00E65F18">
        <w:t>-</w:t>
      </w:r>
      <w:r w:rsidR="00962920">
        <w:t>system</w:t>
      </w:r>
      <w:r w:rsidR="001167CD">
        <w:t xml:space="preserve">. </w:t>
      </w:r>
      <w:r>
        <w:t xml:space="preserve"> </w:t>
      </w:r>
    </w:p>
    <w:p w14:paraId="29AE0593" w14:textId="77777777" w:rsidR="00C37273" w:rsidRDefault="00C37273" w:rsidP="00950C37">
      <w:pPr>
        <w:spacing w:after="0" w:line="240" w:lineRule="auto"/>
      </w:pPr>
    </w:p>
    <w:p w14:paraId="14189F10" w14:textId="77777777" w:rsidR="00173C46" w:rsidRDefault="00C9563E" w:rsidP="000E588E">
      <w:pPr>
        <w:pStyle w:val="Heading2"/>
      </w:pPr>
      <w:bookmarkStart w:id="13" w:name="_Toc5308783"/>
      <w:r>
        <w:t>Exchange of information</w:t>
      </w:r>
      <w:bookmarkEnd w:id="13"/>
      <w:r>
        <w:t xml:space="preserve"> </w:t>
      </w:r>
      <w:r w:rsidR="00173C46" w:rsidRPr="00B61126">
        <w:t xml:space="preserve"> </w:t>
      </w:r>
    </w:p>
    <w:p w14:paraId="0F9AE74E" w14:textId="77777777" w:rsidR="000E588E" w:rsidRDefault="000E588E" w:rsidP="00CE16FD">
      <w:pPr>
        <w:spacing w:after="0" w:line="240" w:lineRule="auto"/>
      </w:pPr>
    </w:p>
    <w:p w14:paraId="44A8618B" w14:textId="77777777" w:rsidR="00CE16FD" w:rsidRPr="007E14A6" w:rsidRDefault="002921B7" w:rsidP="007E14A6">
      <w:pPr>
        <w:spacing w:after="0" w:line="240" w:lineRule="auto"/>
      </w:pPr>
      <w:r w:rsidRPr="007E14A6">
        <w:t>E</w:t>
      </w:r>
      <w:r w:rsidR="00902BEE" w:rsidRPr="007E14A6">
        <w:t>xchange</w:t>
      </w:r>
      <w:r w:rsidRPr="007E14A6">
        <w:t xml:space="preserve"> of information </w:t>
      </w:r>
      <w:r w:rsidR="00902BEE" w:rsidRPr="007E14A6">
        <w:t xml:space="preserve">is </w:t>
      </w:r>
      <w:r w:rsidR="003A0527" w:rsidRPr="007E14A6">
        <w:t xml:space="preserve">a crucial </w:t>
      </w:r>
      <w:r w:rsidR="00CC3BD3">
        <w:t xml:space="preserve">part </w:t>
      </w:r>
      <w:r w:rsidR="003A0527" w:rsidRPr="007E14A6">
        <w:t xml:space="preserve">of </w:t>
      </w:r>
      <w:r w:rsidR="00902BEE" w:rsidRPr="007E14A6">
        <w:t xml:space="preserve">transboundary </w:t>
      </w:r>
      <w:r w:rsidR="007D7179" w:rsidRPr="007E14A6">
        <w:t xml:space="preserve">environmental </w:t>
      </w:r>
      <w:r w:rsidR="00902BEE" w:rsidRPr="007E14A6">
        <w:t>assessment</w:t>
      </w:r>
      <w:r w:rsidR="007D7179" w:rsidRPr="007E14A6">
        <w:t>s</w:t>
      </w:r>
      <w:r w:rsidR="00CC3BD3">
        <w:t xml:space="preserve"> procedures</w:t>
      </w:r>
      <w:r w:rsidR="007D7179" w:rsidRPr="007E14A6">
        <w:t xml:space="preserve">. </w:t>
      </w:r>
      <w:r w:rsidR="00902BEE" w:rsidRPr="007E14A6">
        <w:t>It s</w:t>
      </w:r>
      <w:r w:rsidR="00852774" w:rsidRPr="007E14A6">
        <w:t>tarts with the notification (or pre-notification consultations)</w:t>
      </w:r>
      <w:r w:rsidR="00C9563E" w:rsidRPr="007E14A6">
        <w:rPr>
          <w:rStyle w:val="FootnoteReference"/>
        </w:rPr>
        <w:footnoteReference w:id="15"/>
      </w:r>
      <w:r w:rsidR="00852774" w:rsidRPr="007E14A6">
        <w:t xml:space="preserve">, </w:t>
      </w:r>
      <w:r w:rsidR="003A0527" w:rsidRPr="007E14A6">
        <w:t>followed by option</w:t>
      </w:r>
      <w:r w:rsidR="007D7179" w:rsidRPr="007E14A6">
        <w:t xml:space="preserve">al information exchange on the assessment procedures among concerned countries. Exchange of information carries on through the </w:t>
      </w:r>
      <w:r w:rsidR="00567806" w:rsidRPr="007E14A6">
        <w:t>assessment process</w:t>
      </w:r>
      <w:r w:rsidR="000E7F71" w:rsidRPr="007E14A6">
        <w:t xml:space="preserve"> </w:t>
      </w:r>
      <w:r w:rsidR="00902BEE" w:rsidRPr="007E14A6">
        <w:t xml:space="preserve">to decision-making </w:t>
      </w:r>
      <w:r w:rsidR="000E7F71" w:rsidRPr="007E14A6">
        <w:t>and into the post-decision phase, including monitoring</w:t>
      </w:r>
      <w:r w:rsidR="00CE16FD" w:rsidRPr="007E14A6">
        <w:t xml:space="preserve">. </w:t>
      </w:r>
    </w:p>
    <w:p w14:paraId="0AB2F2E8" w14:textId="77777777" w:rsidR="0043783C" w:rsidRPr="007E14A6" w:rsidRDefault="0043783C" w:rsidP="007E14A6">
      <w:pPr>
        <w:spacing w:after="0" w:line="240" w:lineRule="auto"/>
      </w:pPr>
    </w:p>
    <w:p w14:paraId="0E1D66DB" w14:textId="2EA7D052" w:rsidR="0043783C" w:rsidRDefault="00502DFA" w:rsidP="007E14A6">
      <w:pPr>
        <w:spacing w:after="0" w:line="240" w:lineRule="auto"/>
      </w:pPr>
      <w:r w:rsidRPr="007E14A6">
        <w:t>Cooperation in the exchange of information between all the BC Contracting Parties should be strengthened in order to contribute to the quality and effectiveness of transboundary environmental assessments.</w:t>
      </w:r>
      <w:r w:rsidR="007E14A6">
        <w:t xml:space="preserve"> </w:t>
      </w:r>
      <w:r w:rsidR="007E14A6" w:rsidRPr="007E14A6">
        <w:rPr>
          <w:color w:val="000000" w:themeColor="text1"/>
        </w:rPr>
        <w:t>Among other provisions</w:t>
      </w:r>
      <w:r w:rsidR="007E14A6">
        <w:rPr>
          <w:color w:val="000000" w:themeColor="text1"/>
        </w:rPr>
        <w:t xml:space="preserve"> of the Barcelona Convention legal framework</w:t>
      </w:r>
      <w:r w:rsidR="007E14A6" w:rsidRPr="007E14A6">
        <w:rPr>
          <w:color w:val="000000" w:themeColor="text1"/>
        </w:rPr>
        <w:t xml:space="preserve">, Article 27 (b) of the ICZM Protocol calls upon the Parties to establish and maintain up-to-date assessments of the use and management of coastal zones. </w:t>
      </w:r>
      <w:r w:rsidR="007D7179" w:rsidRPr="007E14A6">
        <w:t>I</w:t>
      </w:r>
      <w:r w:rsidR="0043783C" w:rsidRPr="007E14A6">
        <w:t xml:space="preserve">nformation on </w:t>
      </w:r>
      <w:r w:rsidR="00CC3BD3">
        <w:t xml:space="preserve">the </w:t>
      </w:r>
      <w:r w:rsidR="0043783C" w:rsidRPr="007E14A6">
        <w:t>Mediterranean regional and sub-regional specificities</w:t>
      </w:r>
      <w:r w:rsidR="007D7179" w:rsidRPr="007E14A6">
        <w:t xml:space="preserve"> can, for example, help </w:t>
      </w:r>
      <w:r w:rsidR="0043783C" w:rsidRPr="007E14A6">
        <w:t xml:space="preserve">to better </w:t>
      </w:r>
      <w:r w:rsidR="007E14A6">
        <w:t xml:space="preserve">address </w:t>
      </w:r>
      <w:r w:rsidR="0043783C" w:rsidRPr="007E14A6">
        <w:t>sensitivities of marine and coastal environment, cumulative impacts and cross-cutting issues such as climate change (which may acc</w:t>
      </w:r>
      <w:r w:rsidR="007D7179" w:rsidRPr="007E14A6">
        <w:t xml:space="preserve">elerate and/ or give rise to additional impacts of the </w:t>
      </w:r>
      <w:r w:rsidR="0043783C" w:rsidRPr="007E14A6">
        <w:t>project, plan or programme</w:t>
      </w:r>
      <w:r w:rsidR="007D7179" w:rsidRPr="007E14A6">
        <w:t xml:space="preserve"> in question</w:t>
      </w:r>
      <w:r w:rsidR="00CC3BD3">
        <w:t>)</w:t>
      </w:r>
      <w:r w:rsidR="007D7179" w:rsidRPr="007E14A6">
        <w:t xml:space="preserve">. </w:t>
      </w:r>
      <w:r w:rsidR="007D7179" w:rsidRPr="007E14A6">
        <w:rPr>
          <w:color w:val="000000" w:themeColor="text1"/>
        </w:rPr>
        <w:t>T</w:t>
      </w:r>
      <w:r w:rsidR="0043783C" w:rsidRPr="007E14A6">
        <w:t>he countries should cooperate in the exchange of data and seek to in</w:t>
      </w:r>
      <w:r w:rsidR="007E14A6" w:rsidRPr="007E14A6">
        <w:t xml:space="preserve">clude </w:t>
      </w:r>
      <w:r w:rsidR="0043783C" w:rsidRPr="007E14A6">
        <w:t>I</w:t>
      </w:r>
      <w:r w:rsidR="007D7179" w:rsidRPr="007E14A6">
        <w:t xml:space="preserve">ntegrated </w:t>
      </w:r>
      <w:r w:rsidR="0043783C" w:rsidRPr="007E14A6">
        <w:t>M</w:t>
      </w:r>
      <w:r w:rsidR="007E14A6" w:rsidRPr="007E14A6">
        <w:t xml:space="preserve">onitoring and </w:t>
      </w:r>
      <w:r w:rsidR="0043783C" w:rsidRPr="007E14A6">
        <w:t>A</w:t>
      </w:r>
      <w:r w:rsidR="007E14A6" w:rsidRPr="007E14A6">
        <w:t xml:space="preserve">ssessment </w:t>
      </w:r>
      <w:r w:rsidR="0043783C" w:rsidRPr="007E14A6">
        <w:t>P</w:t>
      </w:r>
      <w:r w:rsidR="007E14A6" w:rsidRPr="007E14A6">
        <w:t>rogramme (IMAP)</w:t>
      </w:r>
      <w:r w:rsidR="0043783C" w:rsidRPr="007E14A6">
        <w:t xml:space="preserve"> indicators in </w:t>
      </w:r>
      <w:r w:rsidR="007E14A6" w:rsidRPr="007E14A6">
        <w:t xml:space="preserve">transboundary environmental </w:t>
      </w:r>
      <w:r w:rsidR="0043783C" w:rsidRPr="007E14A6">
        <w:t xml:space="preserve">assessments as </w:t>
      </w:r>
      <w:r w:rsidR="007E14A6" w:rsidRPr="007E14A6">
        <w:t xml:space="preserve">a </w:t>
      </w:r>
      <w:r w:rsidR="0043783C" w:rsidRPr="007E14A6">
        <w:t xml:space="preserve">common </w:t>
      </w:r>
      <w:r w:rsidR="00CC3BD3">
        <w:t xml:space="preserve">set of indicators </w:t>
      </w:r>
      <w:r w:rsidR="0043783C" w:rsidRPr="007E14A6">
        <w:t xml:space="preserve">also relevant </w:t>
      </w:r>
      <w:r w:rsidR="00CC3BD3">
        <w:t xml:space="preserve">for </w:t>
      </w:r>
      <w:r w:rsidR="0043783C" w:rsidRPr="007E14A6">
        <w:t>post-project analysis</w:t>
      </w:r>
      <w:r w:rsidR="007E14A6" w:rsidRPr="007E14A6">
        <w:t xml:space="preserve">/ </w:t>
      </w:r>
      <w:r w:rsidR="000759D5" w:rsidRPr="007E14A6">
        <w:t>monitoring</w:t>
      </w:r>
      <w:r w:rsidR="0043783C" w:rsidRPr="007E14A6">
        <w:t xml:space="preserve"> purposes. Mitigation measures defined in transboundary procedures should take into account GES </w:t>
      </w:r>
      <w:r w:rsidR="007E14A6">
        <w:t xml:space="preserve">for various </w:t>
      </w:r>
      <w:r w:rsidR="0043783C" w:rsidRPr="007E14A6">
        <w:t>ecological objectives</w:t>
      </w:r>
      <w:r w:rsidR="007E14A6" w:rsidRPr="007E14A6">
        <w:t xml:space="preserve">. The </w:t>
      </w:r>
      <w:r w:rsidR="007E14A6" w:rsidRPr="007E14A6">
        <w:lastRenderedPageBreak/>
        <w:t xml:space="preserve">implementation of MSP is expected to emphasise the need for up-to-date information on the state of marine environment and related pressures and impacts, as well as the need for data sharing and cooperation. </w:t>
      </w:r>
    </w:p>
    <w:p w14:paraId="18FF985B" w14:textId="77777777" w:rsidR="007E14A6" w:rsidRPr="007E14A6" w:rsidRDefault="007E14A6" w:rsidP="007E14A6">
      <w:pPr>
        <w:spacing w:after="0" w:line="240" w:lineRule="auto"/>
      </w:pPr>
    </w:p>
    <w:p w14:paraId="2084A8C3" w14:textId="39D5ABBE" w:rsidR="00902BEE" w:rsidRPr="00B30B26" w:rsidRDefault="00CE16FD" w:rsidP="007E14A6">
      <w:pPr>
        <w:spacing w:after="0" w:line="240" w:lineRule="auto"/>
        <w:rPr>
          <w:color w:val="000000" w:themeColor="text1"/>
        </w:rPr>
      </w:pPr>
      <w:r w:rsidRPr="00B30B26">
        <w:rPr>
          <w:color w:val="000000" w:themeColor="text1"/>
        </w:rPr>
        <w:t>BAS</w:t>
      </w:r>
      <w:r w:rsidR="00C63FF8" w:rsidRPr="00B30B26">
        <w:rPr>
          <w:color w:val="000000" w:themeColor="text1"/>
        </w:rPr>
        <w:t>I</w:t>
      </w:r>
      <w:r w:rsidRPr="00B30B26">
        <w:rPr>
          <w:color w:val="000000" w:themeColor="text1"/>
        </w:rPr>
        <w:t xml:space="preserve">C </w:t>
      </w:r>
      <w:r w:rsidR="00902BEE" w:rsidRPr="00B30B26">
        <w:rPr>
          <w:color w:val="000000" w:themeColor="text1"/>
        </w:rPr>
        <w:t>REQUIREMENTS</w:t>
      </w:r>
    </w:p>
    <w:p w14:paraId="1C4B022E" w14:textId="77777777" w:rsidR="00CB6A95" w:rsidRPr="00B30B26" w:rsidRDefault="00CB6A95" w:rsidP="007E14A6">
      <w:pPr>
        <w:spacing w:after="0" w:line="240" w:lineRule="auto"/>
        <w:rPr>
          <w:color w:val="000000" w:themeColor="text1"/>
        </w:rPr>
      </w:pPr>
    </w:p>
    <w:p w14:paraId="049F612D" w14:textId="77777777" w:rsidR="002921B7" w:rsidRDefault="00F452CF" w:rsidP="00CB6A95">
      <w:pPr>
        <w:spacing w:after="0" w:line="240" w:lineRule="auto"/>
        <w:rPr>
          <w:color w:val="000000" w:themeColor="text1"/>
        </w:rPr>
      </w:pPr>
      <w:r w:rsidRPr="00B30B26">
        <w:rPr>
          <w:color w:val="000000" w:themeColor="text1"/>
        </w:rPr>
        <w:t xml:space="preserve">Following </w:t>
      </w:r>
      <w:r w:rsidR="00CB6A95" w:rsidRPr="00B30B26">
        <w:rPr>
          <w:color w:val="000000" w:themeColor="text1"/>
        </w:rPr>
        <w:t xml:space="preserve">the </w:t>
      </w:r>
      <w:r w:rsidR="002921B7" w:rsidRPr="00B30B26">
        <w:rPr>
          <w:color w:val="000000" w:themeColor="text1"/>
        </w:rPr>
        <w:t>assessment phase</w:t>
      </w:r>
      <w:r w:rsidRPr="00B30B26">
        <w:rPr>
          <w:color w:val="000000" w:themeColor="text1"/>
        </w:rPr>
        <w:t xml:space="preserve">, </w:t>
      </w:r>
      <w:r w:rsidR="00CB6A95" w:rsidRPr="00B30B26">
        <w:rPr>
          <w:color w:val="000000" w:themeColor="text1"/>
        </w:rPr>
        <w:t xml:space="preserve">when </w:t>
      </w:r>
      <w:r w:rsidR="002921B7" w:rsidRPr="00B30B26">
        <w:rPr>
          <w:color w:val="000000" w:themeColor="text1"/>
        </w:rPr>
        <w:t>Environmental Impact Statement</w:t>
      </w:r>
      <w:r w:rsidRPr="00B30B26">
        <w:rPr>
          <w:color w:val="000000" w:themeColor="text1"/>
        </w:rPr>
        <w:t xml:space="preserve"> (EIS) </w:t>
      </w:r>
      <w:r w:rsidR="002921B7" w:rsidRPr="00B30B26">
        <w:rPr>
          <w:color w:val="000000" w:themeColor="text1"/>
        </w:rPr>
        <w:t>OR the Environment</w:t>
      </w:r>
      <w:r w:rsidR="0043783C" w:rsidRPr="00B30B26">
        <w:rPr>
          <w:color w:val="000000" w:themeColor="text1"/>
        </w:rPr>
        <w:t>al</w:t>
      </w:r>
      <w:r w:rsidR="002921B7" w:rsidRPr="00B30B26">
        <w:rPr>
          <w:color w:val="000000" w:themeColor="text1"/>
        </w:rPr>
        <w:t xml:space="preserve"> Report</w:t>
      </w:r>
      <w:r w:rsidRPr="00B30B26">
        <w:rPr>
          <w:color w:val="000000" w:themeColor="text1"/>
        </w:rPr>
        <w:t xml:space="preserve"> (ER) </w:t>
      </w:r>
      <w:r w:rsidR="00CB6A95" w:rsidRPr="00B30B26">
        <w:rPr>
          <w:color w:val="000000" w:themeColor="text1"/>
        </w:rPr>
        <w:t>are prepared</w:t>
      </w:r>
      <w:r w:rsidR="002921B7" w:rsidRPr="00B30B26">
        <w:rPr>
          <w:color w:val="000000" w:themeColor="text1"/>
        </w:rPr>
        <w:t xml:space="preserve">, </w:t>
      </w:r>
      <w:r w:rsidR="00CC3BD3" w:rsidRPr="00B30B26">
        <w:rPr>
          <w:color w:val="000000" w:themeColor="text1"/>
        </w:rPr>
        <w:t xml:space="preserve">the </w:t>
      </w:r>
      <w:r w:rsidR="002921B7" w:rsidRPr="00B30B26">
        <w:rPr>
          <w:color w:val="000000" w:themeColor="text1"/>
        </w:rPr>
        <w:t xml:space="preserve">country of origin should ensure that the assessment documentation </w:t>
      </w:r>
      <w:r w:rsidR="00536B8B" w:rsidRPr="00B30B26">
        <w:rPr>
          <w:color w:val="000000" w:themeColor="text1"/>
        </w:rPr>
        <w:t xml:space="preserve">to be provided to the affected country </w:t>
      </w:r>
      <w:r w:rsidR="002921B7" w:rsidRPr="00B30B26">
        <w:rPr>
          <w:color w:val="000000" w:themeColor="text1"/>
        </w:rPr>
        <w:t xml:space="preserve">as a minimum </w:t>
      </w:r>
      <w:r w:rsidR="007E14A6" w:rsidRPr="00B30B26">
        <w:rPr>
          <w:color w:val="000000" w:themeColor="text1"/>
        </w:rPr>
        <w:t xml:space="preserve">contains </w:t>
      </w:r>
      <w:r w:rsidR="002921B7" w:rsidRPr="00B30B26">
        <w:rPr>
          <w:color w:val="000000" w:themeColor="text1"/>
        </w:rPr>
        <w:t>the following information</w:t>
      </w:r>
      <w:r w:rsidR="00536B8B" w:rsidRPr="00B30B26">
        <w:rPr>
          <w:color w:val="000000" w:themeColor="text1"/>
        </w:rPr>
        <w:t xml:space="preserve">: </w:t>
      </w:r>
    </w:p>
    <w:p w14:paraId="746123B2" w14:textId="77777777" w:rsidR="000772F2" w:rsidRPr="00B30B26" w:rsidRDefault="000772F2" w:rsidP="00CB6A95">
      <w:pPr>
        <w:spacing w:after="0" w:line="240" w:lineRule="auto"/>
        <w:rPr>
          <w:color w:val="000000" w:themeColor="text1"/>
        </w:rPr>
      </w:pPr>
    </w:p>
    <w:p w14:paraId="7F6C3EB1" w14:textId="77777777" w:rsidR="00536B8B" w:rsidRDefault="00536B8B" w:rsidP="005028DC">
      <w:pPr>
        <w:pStyle w:val="ListParagraph"/>
        <w:numPr>
          <w:ilvl w:val="0"/>
          <w:numId w:val="17"/>
        </w:numPr>
        <w:spacing w:after="0" w:line="240" w:lineRule="auto"/>
      </w:pPr>
      <w:r w:rsidRPr="00B30B26">
        <w:rPr>
          <w:color w:val="000000" w:themeColor="text1"/>
        </w:rPr>
        <w:t xml:space="preserve">a description </w:t>
      </w:r>
      <w:r w:rsidRPr="0070222B">
        <w:t>of the proposed project and its purpose</w:t>
      </w:r>
      <w:r w:rsidR="00550067">
        <w:t xml:space="preserve">/ contents </w:t>
      </w:r>
      <w:r w:rsidR="004C0D81">
        <w:t xml:space="preserve">and the main objectives </w:t>
      </w:r>
      <w:r w:rsidR="00550067">
        <w:t>of the draft plan or programme</w:t>
      </w:r>
      <w:r w:rsidRPr="0070222B">
        <w:t xml:space="preserve">;  </w:t>
      </w:r>
    </w:p>
    <w:p w14:paraId="76ADFF2A" w14:textId="77777777" w:rsidR="00536B8B" w:rsidRDefault="00536B8B" w:rsidP="005028DC">
      <w:pPr>
        <w:pStyle w:val="ListParagraph"/>
        <w:numPr>
          <w:ilvl w:val="0"/>
          <w:numId w:val="17"/>
        </w:numPr>
        <w:spacing w:after="0" w:line="240" w:lineRule="auto"/>
      </w:pPr>
      <w:r w:rsidRPr="0070222B">
        <w:t>a description, where appropriate, of reasonable alternatives</w:t>
      </w:r>
      <w:r w:rsidR="00F91C97">
        <w:t xml:space="preserve"> to the project, plan or programme, </w:t>
      </w:r>
      <w:r w:rsidR="00550067">
        <w:t xml:space="preserve">including </w:t>
      </w:r>
      <w:r w:rsidRPr="0070222B">
        <w:t xml:space="preserve">the no-action alternative;  </w:t>
      </w:r>
    </w:p>
    <w:p w14:paraId="0C22D9A2" w14:textId="472ED345" w:rsidR="00536B8B" w:rsidRDefault="00536B8B" w:rsidP="005028DC">
      <w:pPr>
        <w:pStyle w:val="ListParagraph"/>
        <w:numPr>
          <w:ilvl w:val="0"/>
          <w:numId w:val="17"/>
        </w:numPr>
        <w:spacing w:after="0" w:line="240" w:lineRule="auto"/>
      </w:pPr>
      <w:r w:rsidRPr="0070222B">
        <w:t>a description of the environment</w:t>
      </w:r>
      <w:r w:rsidR="00595D1B">
        <w:t xml:space="preserve">, </w:t>
      </w:r>
      <w:r w:rsidR="004C0D81">
        <w:t>including health</w:t>
      </w:r>
      <w:r w:rsidR="00595D1B">
        <w:t xml:space="preserve">, </w:t>
      </w:r>
      <w:r w:rsidRPr="0070222B">
        <w:t>likely to be significantly affected by the proposed project</w:t>
      </w:r>
      <w:r w:rsidR="004C0D81">
        <w:t>, plan or programme</w:t>
      </w:r>
      <w:r w:rsidRPr="0070222B">
        <w:t xml:space="preserve"> and </w:t>
      </w:r>
      <w:r w:rsidR="004C0D81">
        <w:t xml:space="preserve">their </w:t>
      </w:r>
      <w:r w:rsidRPr="0070222B">
        <w:t xml:space="preserve">alternatives; </w:t>
      </w:r>
    </w:p>
    <w:p w14:paraId="3003DA91" w14:textId="77777777" w:rsidR="00536B8B" w:rsidRDefault="00536B8B" w:rsidP="005028DC">
      <w:pPr>
        <w:pStyle w:val="ListParagraph"/>
        <w:numPr>
          <w:ilvl w:val="0"/>
          <w:numId w:val="17"/>
        </w:numPr>
        <w:spacing w:after="0" w:line="240" w:lineRule="auto"/>
      </w:pPr>
      <w:r w:rsidRPr="0070222B">
        <w:t xml:space="preserve">a description of the </w:t>
      </w:r>
      <w:r w:rsidR="004C0D81">
        <w:t xml:space="preserve">likely significant </w:t>
      </w:r>
      <w:r w:rsidRPr="0070222B">
        <w:t>environmental</w:t>
      </w:r>
      <w:r w:rsidR="004C0D81">
        <w:t xml:space="preserve"> (including health)</w:t>
      </w:r>
      <w:r w:rsidRPr="0070222B">
        <w:t xml:space="preserve"> impact</w:t>
      </w:r>
      <w:r w:rsidR="004C0D81">
        <w:t>s</w:t>
      </w:r>
      <w:r w:rsidRPr="0070222B">
        <w:t xml:space="preserve"> of the proposed project</w:t>
      </w:r>
      <w:r w:rsidR="004C0D81">
        <w:t>, plan or programme</w:t>
      </w:r>
      <w:r w:rsidR="00F91C97">
        <w:t xml:space="preserve"> and their alternatives</w:t>
      </w:r>
      <w:r w:rsidRPr="0070222B">
        <w:t xml:space="preserve">;  </w:t>
      </w:r>
    </w:p>
    <w:p w14:paraId="1EE4C7CA" w14:textId="77777777" w:rsidR="00536B8B" w:rsidRDefault="00536B8B" w:rsidP="005028DC">
      <w:pPr>
        <w:pStyle w:val="ListParagraph"/>
        <w:numPr>
          <w:ilvl w:val="0"/>
          <w:numId w:val="17"/>
        </w:numPr>
        <w:spacing w:after="0" w:line="240" w:lineRule="auto"/>
      </w:pPr>
      <w:r w:rsidRPr="0070222B">
        <w:t xml:space="preserve">a description of </w:t>
      </w:r>
      <w:r w:rsidR="004C0D81">
        <w:t xml:space="preserve">considered </w:t>
      </w:r>
      <w:r w:rsidRPr="0070222B">
        <w:t>measures</w:t>
      </w:r>
      <w:r w:rsidR="004C0D81">
        <w:t xml:space="preserve"> to prevent, reduce or mitigate significant adverse impacts (including</w:t>
      </w:r>
      <w:r w:rsidR="00F91C97">
        <w:t xml:space="preserve"> </w:t>
      </w:r>
      <w:r w:rsidR="00CC3BD3">
        <w:t xml:space="preserve">information on </w:t>
      </w:r>
      <w:r w:rsidR="004C0D81">
        <w:t xml:space="preserve">the </w:t>
      </w:r>
      <w:r w:rsidRPr="0070222B">
        <w:t>predictive methods, assumptions and data</w:t>
      </w:r>
      <w:r w:rsidR="00F91C97">
        <w:t xml:space="preserve"> used in the assessments)</w:t>
      </w:r>
      <w:r w:rsidRPr="0070222B">
        <w:t xml:space="preserve">; </w:t>
      </w:r>
    </w:p>
    <w:p w14:paraId="49D1656D" w14:textId="77777777" w:rsidR="00536B8B" w:rsidRDefault="00536B8B" w:rsidP="005028DC">
      <w:pPr>
        <w:pStyle w:val="ListParagraph"/>
        <w:numPr>
          <w:ilvl w:val="0"/>
          <w:numId w:val="17"/>
        </w:numPr>
        <w:spacing w:after="0" w:line="240" w:lineRule="auto"/>
      </w:pPr>
      <w:r w:rsidRPr="0070222B">
        <w:t>an outline of monitoring and management programmes for post-project analysis</w:t>
      </w:r>
      <w:r w:rsidR="0043783C">
        <w:t xml:space="preserve">/ implementation of the plan or programme; </w:t>
      </w:r>
      <w:r w:rsidR="00A52A91">
        <w:t xml:space="preserve">and </w:t>
      </w:r>
    </w:p>
    <w:p w14:paraId="012CE6A9" w14:textId="77777777" w:rsidR="0043783C" w:rsidRDefault="0043783C" w:rsidP="005028DC">
      <w:pPr>
        <w:pStyle w:val="ListParagraph"/>
        <w:numPr>
          <w:ilvl w:val="0"/>
          <w:numId w:val="17"/>
        </w:numPr>
        <w:spacing w:after="0" w:line="240" w:lineRule="auto"/>
      </w:pPr>
      <w:r>
        <w:t xml:space="preserve">a non-technical summary of the information provided. </w:t>
      </w:r>
    </w:p>
    <w:p w14:paraId="32998FA0" w14:textId="77777777" w:rsidR="002921B7" w:rsidRDefault="002921B7" w:rsidP="00CB6A95">
      <w:pPr>
        <w:spacing w:after="0" w:line="240" w:lineRule="auto"/>
      </w:pPr>
    </w:p>
    <w:p w14:paraId="4827C9BD" w14:textId="789650E0" w:rsidR="001128D7" w:rsidRDefault="001128D7" w:rsidP="001128D7">
      <w:pPr>
        <w:spacing w:after="0" w:line="240" w:lineRule="auto"/>
      </w:pPr>
      <w:r>
        <w:t>The relevant docum</w:t>
      </w:r>
      <w:r w:rsidR="000772F2">
        <w:t>entation should be provided by the</w:t>
      </w:r>
      <w:r>
        <w:t xml:space="preserve"> competent authority of the country of origin to the respective competent authorities of the affected country for examination and comments. In line with the complexity of the project, plan or programme, the country of origin proposes reasonable timeframes for examination of the documentation, public participation and the provision of comments by the affected country. The key information (in particular non-technical summaries) should be translated into the language of the affected country</w:t>
      </w:r>
      <w:r w:rsidR="000772F2">
        <w:t xml:space="preserve"> (or into other appropriate language)</w:t>
      </w:r>
      <w:r w:rsidR="00694E0C">
        <w:t xml:space="preserve">, </w:t>
      </w:r>
      <w:r>
        <w:t xml:space="preserve">where relevant. </w:t>
      </w:r>
    </w:p>
    <w:p w14:paraId="39732A1F" w14:textId="77777777" w:rsidR="001128D7" w:rsidRDefault="001128D7" w:rsidP="001128D7">
      <w:pPr>
        <w:spacing w:after="0" w:line="240" w:lineRule="auto"/>
      </w:pPr>
    </w:p>
    <w:p w14:paraId="1223A9F3" w14:textId="1C3E17B7" w:rsidR="001128D7" w:rsidRPr="001128D7" w:rsidRDefault="001128D7" w:rsidP="001128D7">
      <w:pPr>
        <w:spacing w:after="0" w:line="240" w:lineRule="auto"/>
      </w:pPr>
      <w:r>
        <w:t xml:space="preserve">The final decision should be provided to the affected country in a timely manner, accompanied with the information shown in </w:t>
      </w:r>
      <w:r w:rsidRPr="00694E0C">
        <w:rPr>
          <w:color w:val="833C0B" w:themeColor="accent2" w:themeShade="80"/>
        </w:rPr>
        <w:t xml:space="preserve">Table 6-1 </w:t>
      </w:r>
      <w:r w:rsidR="00694E0C">
        <w:rPr>
          <w:color w:val="000000" w:themeColor="text1"/>
        </w:rPr>
        <w:t>(</w:t>
      </w:r>
      <w:r w:rsidRPr="001128D7">
        <w:rPr>
          <w:color w:val="000000" w:themeColor="text1"/>
        </w:rPr>
        <w:t xml:space="preserve">compiled based on the </w:t>
      </w:r>
      <w:r>
        <w:t>requirements of the EU and UNECE legal frameworks for both the EIA and SEA</w:t>
      </w:r>
      <w:r w:rsidR="00694E0C">
        <w:t>)</w:t>
      </w:r>
      <w:r>
        <w:t xml:space="preserve">. </w:t>
      </w:r>
      <w:r w:rsidRPr="001128D7">
        <w:t xml:space="preserve">According to </w:t>
      </w:r>
      <w:r w:rsidR="006F7047">
        <w:t xml:space="preserve">the </w:t>
      </w:r>
      <w:r w:rsidRPr="001128D7">
        <w:t>Espoo Convention, concerned Parties should be also informed if additional information (which could have materially affected the decision) becomes available after the final decision is made and before the activity commences. Key information on the final decision should be translated into the language of the affected country</w:t>
      </w:r>
      <w:r w:rsidR="000772F2">
        <w:t xml:space="preserve"> (or into other appropriate language)</w:t>
      </w:r>
      <w:r w:rsidR="00694E0C">
        <w:t xml:space="preserve">, </w:t>
      </w:r>
      <w:r w:rsidRPr="001128D7">
        <w:t xml:space="preserve">where relevant. </w:t>
      </w:r>
    </w:p>
    <w:p w14:paraId="7D3B9C13" w14:textId="77777777" w:rsidR="001128D7" w:rsidRDefault="001128D7" w:rsidP="001128D7">
      <w:pPr>
        <w:spacing w:after="0" w:line="240" w:lineRule="auto"/>
        <w:rPr>
          <w:b/>
          <w:color w:val="000000" w:themeColor="text1"/>
        </w:rPr>
      </w:pPr>
    </w:p>
    <w:p w14:paraId="72DF8C12" w14:textId="77777777" w:rsidR="001128D7" w:rsidRDefault="001128D7" w:rsidP="001128D7">
      <w:r>
        <w:t xml:space="preserve">GOOD PRACTICE RECOMMENDATIONS </w:t>
      </w:r>
    </w:p>
    <w:p w14:paraId="050D8275" w14:textId="77777777" w:rsidR="001128D7" w:rsidRDefault="001128D7" w:rsidP="005028DC">
      <w:pPr>
        <w:pStyle w:val="ListParagraph"/>
        <w:numPr>
          <w:ilvl w:val="0"/>
          <w:numId w:val="18"/>
        </w:numPr>
        <w:spacing w:after="0" w:line="240" w:lineRule="auto"/>
        <w:rPr>
          <w:color w:val="000000" w:themeColor="text1"/>
        </w:rPr>
      </w:pPr>
      <w:r>
        <w:rPr>
          <w:color w:val="000000" w:themeColor="text1"/>
        </w:rPr>
        <w:t>C</w:t>
      </w:r>
      <w:r w:rsidRPr="00756120">
        <w:rPr>
          <w:color w:val="000000" w:themeColor="text1"/>
        </w:rPr>
        <w:t xml:space="preserve">lose cooperation </w:t>
      </w:r>
      <w:r w:rsidR="00B04EA0">
        <w:rPr>
          <w:color w:val="000000" w:themeColor="text1"/>
        </w:rPr>
        <w:t>s</w:t>
      </w:r>
      <w:r>
        <w:rPr>
          <w:color w:val="000000" w:themeColor="text1"/>
        </w:rPr>
        <w:t xml:space="preserve">hould be developed among </w:t>
      </w:r>
      <w:r w:rsidRPr="00756120">
        <w:rPr>
          <w:color w:val="000000" w:themeColor="text1"/>
        </w:rPr>
        <w:t>concerned parties in scoping and preparation of the EIS/ ER</w:t>
      </w:r>
      <w:r>
        <w:rPr>
          <w:color w:val="000000" w:themeColor="text1"/>
        </w:rPr>
        <w:t>. A</w:t>
      </w:r>
      <w:r w:rsidRPr="00756120">
        <w:rPr>
          <w:color w:val="000000" w:themeColor="text1"/>
        </w:rPr>
        <w:t xml:space="preserve">uthorities of the affected country </w:t>
      </w:r>
      <w:r>
        <w:rPr>
          <w:color w:val="000000" w:themeColor="text1"/>
        </w:rPr>
        <w:t xml:space="preserve">should be invited </w:t>
      </w:r>
      <w:r w:rsidRPr="00756120">
        <w:rPr>
          <w:color w:val="000000" w:themeColor="text1"/>
        </w:rPr>
        <w:t>to participate in the scoping (whenever possible/ provided for under national legislation and whenever necessary)</w:t>
      </w:r>
      <w:r>
        <w:rPr>
          <w:color w:val="000000" w:themeColor="text1"/>
        </w:rPr>
        <w:t>.</w:t>
      </w:r>
    </w:p>
    <w:p w14:paraId="725275FA" w14:textId="77777777" w:rsidR="001128D7" w:rsidRDefault="001128D7" w:rsidP="001128D7">
      <w:pPr>
        <w:pStyle w:val="ListParagraph"/>
        <w:spacing w:after="0" w:line="240" w:lineRule="auto"/>
        <w:rPr>
          <w:color w:val="000000" w:themeColor="text1"/>
        </w:rPr>
      </w:pPr>
    </w:p>
    <w:p w14:paraId="6084EFDB" w14:textId="5EFD0E44" w:rsidR="001128D7" w:rsidRDefault="001128D7" w:rsidP="005028DC">
      <w:pPr>
        <w:pStyle w:val="ListParagraph"/>
        <w:numPr>
          <w:ilvl w:val="0"/>
          <w:numId w:val="18"/>
        </w:numPr>
        <w:spacing w:after="0" w:line="240" w:lineRule="auto"/>
        <w:rPr>
          <w:color w:val="000000" w:themeColor="text1"/>
        </w:rPr>
      </w:pPr>
      <w:r>
        <w:rPr>
          <w:color w:val="000000" w:themeColor="text1"/>
        </w:rPr>
        <w:t>A comprehensive i</w:t>
      </w:r>
      <w:r w:rsidRPr="00756120">
        <w:rPr>
          <w:color w:val="000000" w:themeColor="text1"/>
        </w:rPr>
        <w:t>nformation exchange</w:t>
      </w:r>
      <w:r w:rsidR="0055226B">
        <w:rPr>
          <w:color w:val="000000" w:themeColor="text1"/>
        </w:rPr>
        <w:t xml:space="preserve"> process</w:t>
      </w:r>
      <w:r w:rsidRPr="00756120">
        <w:rPr>
          <w:color w:val="000000" w:themeColor="text1"/>
        </w:rPr>
        <w:t xml:space="preserve"> </w:t>
      </w:r>
      <w:r>
        <w:rPr>
          <w:color w:val="000000" w:themeColor="text1"/>
        </w:rPr>
        <w:t xml:space="preserve">is strongly recommended, to </w:t>
      </w:r>
      <w:r w:rsidRPr="00756120">
        <w:rPr>
          <w:color w:val="000000" w:themeColor="text1"/>
        </w:rPr>
        <w:t xml:space="preserve">preferably </w:t>
      </w:r>
      <w:r>
        <w:rPr>
          <w:color w:val="000000" w:themeColor="text1"/>
        </w:rPr>
        <w:t xml:space="preserve">start </w:t>
      </w:r>
      <w:r w:rsidRPr="00756120">
        <w:rPr>
          <w:color w:val="000000" w:themeColor="text1"/>
        </w:rPr>
        <w:t>before the assessments are carried out</w:t>
      </w:r>
      <w:r>
        <w:rPr>
          <w:color w:val="000000" w:themeColor="text1"/>
        </w:rPr>
        <w:t xml:space="preserve"> in order to </w:t>
      </w:r>
      <w:r w:rsidRPr="00756120">
        <w:rPr>
          <w:color w:val="000000" w:themeColor="text1"/>
        </w:rPr>
        <w:t xml:space="preserve">ensure the most up-to-date </w:t>
      </w:r>
      <w:r>
        <w:rPr>
          <w:color w:val="000000" w:themeColor="text1"/>
        </w:rPr>
        <w:t>data is captured.</w:t>
      </w:r>
    </w:p>
    <w:p w14:paraId="66F27E19" w14:textId="77777777" w:rsidR="001128D7" w:rsidRDefault="001128D7" w:rsidP="001128D7">
      <w:pPr>
        <w:pStyle w:val="ListParagraph"/>
        <w:spacing w:after="0" w:line="240" w:lineRule="auto"/>
        <w:rPr>
          <w:color w:val="000000" w:themeColor="text1"/>
        </w:rPr>
      </w:pPr>
    </w:p>
    <w:p w14:paraId="379621FB" w14:textId="77777777" w:rsidR="00692579" w:rsidRDefault="00692579" w:rsidP="0020178B">
      <w:pPr>
        <w:pStyle w:val="Caption"/>
        <w:spacing w:after="0"/>
        <w:rPr>
          <w:sz w:val="20"/>
          <w:szCs w:val="20"/>
        </w:rPr>
      </w:pPr>
    </w:p>
    <w:p w14:paraId="448B7166" w14:textId="045DB755" w:rsidR="00271DB4" w:rsidRPr="0020178B" w:rsidRDefault="00271DB4" w:rsidP="0020178B">
      <w:pPr>
        <w:pStyle w:val="Caption"/>
        <w:spacing w:after="0"/>
        <w:rPr>
          <w:sz w:val="20"/>
          <w:szCs w:val="20"/>
        </w:rPr>
      </w:pPr>
      <w:r w:rsidRPr="0020178B">
        <w:rPr>
          <w:sz w:val="20"/>
          <w:szCs w:val="20"/>
        </w:rPr>
        <w:t xml:space="preserve">Table </w:t>
      </w:r>
      <w:r w:rsidR="00215A3E" w:rsidRPr="0020178B">
        <w:rPr>
          <w:sz w:val="20"/>
          <w:szCs w:val="20"/>
        </w:rPr>
        <w:fldChar w:fldCharType="begin"/>
      </w:r>
      <w:r w:rsidRPr="0020178B">
        <w:rPr>
          <w:sz w:val="20"/>
          <w:szCs w:val="20"/>
        </w:rPr>
        <w:instrText xml:space="preserve"> STYLEREF 1 \s </w:instrText>
      </w:r>
      <w:r w:rsidR="00215A3E" w:rsidRPr="0020178B">
        <w:rPr>
          <w:sz w:val="20"/>
          <w:szCs w:val="20"/>
        </w:rPr>
        <w:fldChar w:fldCharType="separate"/>
      </w:r>
      <w:r w:rsidR="005A000D">
        <w:rPr>
          <w:noProof/>
          <w:sz w:val="20"/>
          <w:szCs w:val="20"/>
        </w:rPr>
        <w:t>6</w:t>
      </w:r>
      <w:r w:rsidR="00215A3E" w:rsidRPr="0020178B">
        <w:rPr>
          <w:sz w:val="20"/>
          <w:szCs w:val="20"/>
        </w:rPr>
        <w:fldChar w:fldCharType="end"/>
      </w:r>
      <w:r w:rsidRPr="0020178B">
        <w:rPr>
          <w:sz w:val="20"/>
          <w:szCs w:val="20"/>
        </w:rPr>
        <w:noBreakHyphen/>
      </w:r>
      <w:r w:rsidR="00215A3E" w:rsidRPr="0020178B">
        <w:rPr>
          <w:sz w:val="20"/>
          <w:szCs w:val="20"/>
        </w:rPr>
        <w:fldChar w:fldCharType="begin"/>
      </w:r>
      <w:r w:rsidRPr="0020178B">
        <w:rPr>
          <w:sz w:val="20"/>
          <w:szCs w:val="20"/>
        </w:rPr>
        <w:instrText xml:space="preserve"> SEQ Table \* ARABIC \s 1 </w:instrText>
      </w:r>
      <w:r w:rsidR="00215A3E" w:rsidRPr="0020178B">
        <w:rPr>
          <w:sz w:val="20"/>
          <w:szCs w:val="20"/>
        </w:rPr>
        <w:fldChar w:fldCharType="separate"/>
      </w:r>
      <w:r w:rsidR="005A000D">
        <w:rPr>
          <w:noProof/>
          <w:sz w:val="20"/>
          <w:szCs w:val="20"/>
        </w:rPr>
        <w:t>1</w:t>
      </w:r>
      <w:r w:rsidR="00215A3E" w:rsidRPr="0020178B">
        <w:rPr>
          <w:sz w:val="20"/>
          <w:szCs w:val="20"/>
        </w:rPr>
        <w:fldChar w:fldCharType="end"/>
      </w:r>
      <w:r w:rsidRPr="0020178B">
        <w:rPr>
          <w:sz w:val="20"/>
          <w:szCs w:val="20"/>
        </w:rPr>
        <w:t xml:space="preserve">: </w:t>
      </w:r>
      <w:r w:rsidR="0020178B" w:rsidRPr="0020178B">
        <w:rPr>
          <w:sz w:val="20"/>
          <w:szCs w:val="20"/>
        </w:rPr>
        <w:t xml:space="preserve">Information to be disseminated after the decision is made in EIA and SEA transboundary procedures </w:t>
      </w:r>
    </w:p>
    <w:tbl>
      <w:tblPr>
        <w:tblStyle w:val="TableGrid"/>
        <w:tblW w:w="0" w:type="auto"/>
        <w:tblLayout w:type="fixed"/>
        <w:tblLook w:val="04A0" w:firstRow="1" w:lastRow="0" w:firstColumn="1" w:lastColumn="0" w:noHBand="0" w:noVBand="1"/>
      </w:tblPr>
      <w:tblGrid>
        <w:gridCol w:w="704"/>
        <w:gridCol w:w="4107"/>
        <w:gridCol w:w="4249"/>
      </w:tblGrid>
      <w:tr w:rsidR="000744DC" w14:paraId="04382974" w14:textId="77777777" w:rsidTr="00077573">
        <w:tc>
          <w:tcPr>
            <w:tcW w:w="704" w:type="dxa"/>
            <w:tcBorders>
              <w:bottom w:val="nil"/>
              <w:right w:val="nil"/>
            </w:tcBorders>
            <w:shd w:val="clear" w:color="auto" w:fill="9CC2E5" w:themeFill="accent1" w:themeFillTint="99"/>
          </w:tcPr>
          <w:p w14:paraId="348A22DB" w14:textId="77777777" w:rsidR="000744DC" w:rsidRPr="002E2A45" w:rsidRDefault="000744DC" w:rsidP="00C847C1">
            <w:pPr>
              <w:rPr>
                <w:sz w:val="20"/>
                <w:szCs w:val="20"/>
              </w:rPr>
            </w:pPr>
          </w:p>
        </w:tc>
        <w:tc>
          <w:tcPr>
            <w:tcW w:w="4107" w:type="dxa"/>
            <w:tcBorders>
              <w:left w:val="nil"/>
            </w:tcBorders>
            <w:shd w:val="clear" w:color="auto" w:fill="9CC2E5" w:themeFill="accent1" w:themeFillTint="99"/>
            <w:vAlign w:val="bottom"/>
          </w:tcPr>
          <w:p w14:paraId="5CAF3FB3" w14:textId="4990B9F3" w:rsidR="00077573" w:rsidRPr="00C847C1" w:rsidRDefault="0070222B" w:rsidP="00327FED">
            <w:pPr>
              <w:jc w:val="center"/>
              <w:rPr>
                <w:b/>
                <w:sz w:val="20"/>
                <w:szCs w:val="20"/>
              </w:rPr>
            </w:pPr>
            <w:r w:rsidRPr="00C847C1">
              <w:rPr>
                <w:b/>
                <w:sz w:val="20"/>
                <w:szCs w:val="20"/>
              </w:rPr>
              <w:t>EIA</w:t>
            </w:r>
          </w:p>
        </w:tc>
        <w:tc>
          <w:tcPr>
            <w:tcW w:w="4249" w:type="dxa"/>
            <w:shd w:val="clear" w:color="auto" w:fill="9CC2E5" w:themeFill="accent1" w:themeFillTint="99"/>
            <w:vAlign w:val="center"/>
          </w:tcPr>
          <w:p w14:paraId="4A2B8FCB" w14:textId="77777777" w:rsidR="000744DC" w:rsidRPr="00C847C1" w:rsidRDefault="0070222B" w:rsidP="00C847C1">
            <w:pPr>
              <w:jc w:val="center"/>
              <w:rPr>
                <w:b/>
                <w:sz w:val="20"/>
                <w:szCs w:val="20"/>
              </w:rPr>
            </w:pPr>
            <w:r w:rsidRPr="00C847C1">
              <w:rPr>
                <w:b/>
                <w:sz w:val="20"/>
                <w:szCs w:val="20"/>
              </w:rPr>
              <w:t>SEA</w:t>
            </w:r>
          </w:p>
        </w:tc>
      </w:tr>
      <w:tr w:rsidR="0070222B" w14:paraId="3A5BB399" w14:textId="77777777" w:rsidTr="00C847C1">
        <w:trPr>
          <w:cantSplit/>
          <w:trHeight w:val="1134"/>
        </w:trPr>
        <w:tc>
          <w:tcPr>
            <w:tcW w:w="704" w:type="dxa"/>
            <w:tcBorders>
              <w:top w:val="nil"/>
            </w:tcBorders>
            <w:shd w:val="clear" w:color="auto" w:fill="9CC2E5" w:themeFill="accent1" w:themeFillTint="99"/>
            <w:textDirection w:val="btLr"/>
            <w:vAlign w:val="center"/>
          </w:tcPr>
          <w:p w14:paraId="799AFE49" w14:textId="77777777" w:rsidR="000744DC" w:rsidRPr="00C847C1" w:rsidRDefault="0070222B" w:rsidP="00C847C1">
            <w:pPr>
              <w:ind w:left="113" w:right="113"/>
              <w:jc w:val="center"/>
              <w:rPr>
                <w:b/>
                <w:sz w:val="20"/>
                <w:szCs w:val="20"/>
              </w:rPr>
            </w:pPr>
            <w:r w:rsidRPr="00C847C1">
              <w:rPr>
                <w:b/>
                <w:sz w:val="20"/>
                <w:szCs w:val="20"/>
              </w:rPr>
              <w:t>EU Directives</w:t>
            </w:r>
          </w:p>
          <w:p w14:paraId="4A1A2ABC" w14:textId="77777777" w:rsidR="000744DC" w:rsidRPr="00C847C1" w:rsidRDefault="000744DC" w:rsidP="00C847C1">
            <w:pPr>
              <w:ind w:left="113" w:right="113"/>
              <w:jc w:val="center"/>
              <w:rPr>
                <w:b/>
                <w:sz w:val="20"/>
                <w:szCs w:val="20"/>
              </w:rPr>
            </w:pPr>
          </w:p>
          <w:p w14:paraId="68E63DA5" w14:textId="77777777" w:rsidR="000744DC" w:rsidRPr="00C847C1" w:rsidRDefault="000744DC" w:rsidP="00C847C1">
            <w:pPr>
              <w:ind w:left="113" w:right="113"/>
              <w:jc w:val="center"/>
              <w:rPr>
                <w:b/>
                <w:sz w:val="20"/>
                <w:szCs w:val="20"/>
              </w:rPr>
            </w:pPr>
          </w:p>
          <w:p w14:paraId="63D7CA7E" w14:textId="77777777" w:rsidR="000744DC" w:rsidRPr="00C847C1" w:rsidRDefault="000744DC" w:rsidP="00C847C1">
            <w:pPr>
              <w:ind w:left="113" w:right="113"/>
              <w:jc w:val="center"/>
              <w:rPr>
                <w:b/>
                <w:sz w:val="20"/>
                <w:szCs w:val="20"/>
              </w:rPr>
            </w:pPr>
          </w:p>
          <w:p w14:paraId="68801EA9" w14:textId="77777777" w:rsidR="000744DC" w:rsidRPr="00C847C1" w:rsidRDefault="000744DC" w:rsidP="00C847C1">
            <w:pPr>
              <w:ind w:left="113" w:right="113"/>
              <w:jc w:val="center"/>
              <w:rPr>
                <w:b/>
                <w:sz w:val="20"/>
                <w:szCs w:val="20"/>
              </w:rPr>
            </w:pPr>
          </w:p>
          <w:p w14:paraId="16251FE6" w14:textId="77777777" w:rsidR="000744DC" w:rsidRPr="00C847C1" w:rsidRDefault="000744DC" w:rsidP="00C847C1">
            <w:pPr>
              <w:ind w:left="113" w:right="113"/>
              <w:jc w:val="center"/>
              <w:rPr>
                <w:b/>
                <w:sz w:val="20"/>
                <w:szCs w:val="20"/>
              </w:rPr>
            </w:pPr>
          </w:p>
          <w:p w14:paraId="2945809D" w14:textId="77777777" w:rsidR="000744DC" w:rsidRPr="00C847C1" w:rsidRDefault="000744DC" w:rsidP="00C847C1">
            <w:pPr>
              <w:ind w:left="113" w:right="113"/>
              <w:jc w:val="center"/>
              <w:rPr>
                <w:b/>
                <w:sz w:val="20"/>
                <w:szCs w:val="20"/>
              </w:rPr>
            </w:pPr>
          </w:p>
          <w:p w14:paraId="6A63DA81" w14:textId="77777777" w:rsidR="000744DC" w:rsidRPr="00C847C1" w:rsidRDefault="000744DC" w:rsidP="00C847C1">
            <w:pPr>
              <w:ind w:left="113" w:right="113"/>
              <w:jc w:val="center"/>
              <w:rPr>
                <w:b/>
                <w:sz w:val="20"/>
                <w:szCs w:val="20"/>
              </w:rPr>
            </w:pPr>
          </w:p>
          <w:p w14:paraId="13C26E0B" w14:textId="77777777" w:rsidR="000744DC" w:rsidRPr="00C847C1" w:rsidRDefault="000744DC" w:rsidP="00C847C1">
            <w:pPr>
              <w:ind w:left="113" w:right="113"/>
              <w:jc w:val="center"/>
              <w:rPr>
                <w:b/>
                <w:sz w:val="20"/>
                <w:szCs w:val="20"/>
              </w:rPr>
            </w:pPr>
          </w:p>
          <w:p w14:paraId="2504540B" w14:textId="77777777" w:rsidR="000744DC" w:rsidRPr="00C847C1" w:rsidRDefault="000744DC" w:rsidP="00C847C1">
            <w:pPr>
              <w:ind w:left="113" w:right="113"/>
              <w:jc w:val="center"/>
              <w:rPr>
                <w:b/>
                <w:sz w:val="20"/>
                <w:szCs w:val="20"/>
              </w:rPr>
            </w:pPr>
          </w:p>
          <w:p w14:paraId="3218FEBE" w14:textId="77777777" w:rsidR="000744DC" w:rsidRPr="00C847C1" w:rsidRDefault="000744DC" w:rsidP="00C847C1">
            <w:pPr>
              <w:ind w:left="113" w:right="113"/>
              <w:jc w:val="center"/>
              <w:rPr>
                <w:b/>
                <w:sz w:val="20"/>
                <w:szCs w:val="20"/>
              </w:rPr>
            </w:pPr>
          </w:p>
          <w:p w14:paraId="03F18336" w14:textId="77777777" w:rsidR="000744DC" w:rsidRPr="00C847C1" w:rsidRDefault="000744DC" w:rsidP="00C847C1">
            <w:pPr>
              <w:ind w:left="113" w:right="113"/>
              <w:jc w:val="center"/>
              <w:rPr>
                <w:b/>
                <w:sz w:val="20"/>
                <w:szCs w:val="20"/>
              </w:rPr>
            </w:pPr>
          </w:p>
        </w:tc>
        <w:tc>
          <w:tcPr>
            <w:tcW w:w="4107" w:type="dxa"/>
          </w:tcPr>
          <w:p w14:paraId="63436D55" w14:textId="77777777" w:rsidR="000744DC" w:rsidRDefault="000744DC" w:rsidP="00C847C1">
            <w:pPr>
              <w:rPr>
                <w:sz w:val="20"/>
                <w:szCs w:val="20"/>
              </w:rPr>
            </w:pPr>
            <w:r>
              <w:rPr>
                <w:sz w:val="20"/>
                <w:szCs w:val="20"/>
              </w:rPr>
              <w:t>T</w:t>
            </w:r>
            <w:r w:rsidRPr="002E2A45">
              <w:rPr>
                <w:sz w:val="20"/>
                <w:szCs w:val="20"/>
              </w:rPr>
              <w:t xml:space="preserve">he relevant authority of the Member State where the project is to be implemented is to make available the following information: </w:t>
            </w:r>
          </w:p>
          <w:p w14:paraId="2CC630FE" w14:textId="77777777" w:rsidR="001128D7" w:rsidRPr="002E2A45" w:rsidRDefault="001128D7" w:rsidP="00C847C1">
            <w:pPr>
              <w:rPr>
                <w:sz w:val="20"/>
                <w:szCs w:val="20"/>
              </w:rPr>
            </w:pPr>
          </w:p>
          <w:p w14:paraId="4A525551" w14:textId="77777777" w:rsidR="000744DC" w:rsidRPr="003C3805" w:rsidRDefault="000744DC" w:rsidP="005028DC">
            <w:pPr>
              <w:pStyle w:val="ListParagraph"/>
              <w:numPr>
                <w:ilvl w:val="1"/>
                <w:numId w:val="8"/>
              </w:numPr>
              <w:ind w:left="459" w:hanging="425"/>
              <w:rPr>
                <w:sz w:val="20"/>
                <w:szCs w:val="20"/>
              </w:rPr>
            </w:pPr>
            <w:r w:rsidRPr="003C3805">
              <w:rPr>
                <w:sz w:val="20"/>
                <w:szCs w:val="20"/>
              </w:rPr>
              <w:t xml:space="preserve">the content of the decision and any conditions attached thereto; </w:t>
            </w:r>
          </w:p>
          <w:p w14:paraId="539FE47C" w14:textId="77777777" w:rsidR="000744DC" w:rsidRPr="003C3805" w:rsidRDefault="000744DC" w:rsidP="005028DC">
            <w:pPr>
              <w:pStyle w:val="ListParagraph"/>
              <w:numPr>
                <w:ilvl w:val="1"/>
                <w:numId w:val="8"/>
              </w:numPr>
              <w:ind w:left="459" w:hanging="425"/>
              <w:rPr>
                <w:sz w:val="20"/>
                <w:szCs w:val="20"/>
              </w:rPr>
            </w:pPr>
            <w:r w:rsidRPr="003C3805">
              <w:rPr>
                <w:sz w:val="20"/>
                <w:szCs w:val="20"/>
              </w:rPr>
              <w:t xml:space="preserve">the main reasons and considerations on which the decision is based, including information about the public participation process; </w:t>
            </w:r>
          </w:p>
          <w:p w14:paraId="380D3DA4" w14:textId="50D1220F" w:rsidR="000744DC" w:rsidRPr="001128D7" w:rsidRDefault="000744DC" w:rsidP="006F7047">
            <w:pPr>
              <w:pStyle w:val="ListParagraph"/>
              <w:numPr>
                <w:ilvl w:val="1"/>
                <w:numId w:val="8"/>
              </w:numPr>
              <w:ind w:left="459" w:hanging="425"/>
              <w:rPr>
                <w:sz w:val="20"/>
                <w:szCs w:val="20"/>
              </w:rPr>
            </w:pPr>
            <w:r w:rsidRPr="003C3805">
              <w:rPr>
                <w:sz w:val="20"/>
                <w:szCs w:val="20"/>
              </w:rPr>
              <w:t>a description, where necessary, of the main measures to avoid, reduce and, if</w:t>
            </w:r>
            <w:r w:rsidR="006F7047">
              <w:rPr>
                <w:sz w:val="20"/>
                <w:szCs w:val="20"/>
              </w:rPr>
              <w:t xml:space="preserve"> </w:t>
            </w:r>
            <w:r w:rsidRPr="003C3805">
              <w:rPr>
                <w:sz w:val="20"/>
                <w:szCs w:val="20"/>
              </w:rPr>
              <w:t>possible, offset the major adverse effects</w:t>
            </w:r>
            <w:r>
              <w:rPr>
                <w:sz w:val="20"/>
                <w:szCs w:val="20"/>
              </w:rPr>
              <w:t>.</w:t>
            </w:r>
          </w:p>
        </w:tc>
        <w:tc>
          <w:tcPr>
            <w:tcW w:w="4249" w:type="dxa"/>
          </w:tcPr>
          <w:p w14:paraId="6F029930" w14:textId="77777777" w:rsidR="000744DC" w:rsidRDefault="000744DC" w:rsidP="00C847C1">
            <w:pPr>
              <w:rPr>
                <w:sz w:val="20"/>
                <w:szCs w:val="20"/>
              </w:rPr>
            </w:pPr>
            <w:r w:rsidRPr="002E2A45">
              <w:rPr>
                <w:sz w:val="20"/>
                <w:szCs w:val="20"/>
              </w:rPr>
              <w:t>Member State</w:t>
            </w:r>
            <w:r>
              <w:rPr>
                <w:sz w:val="20"/>
                <w:szCs w:val="20"/>
              </w:rPr>
              <w:t xml:space="preserve">s are </w:t>
            </w:r>
            <w:r w:rsidRPr="002E2A45">
              <w:rPr>
                <w:sz w:val="20"/>
                <w:szCs w:val="20"/>
              </w:rPr>
              <w:t xml:space="preserve">to ensure that any Member State consulted is informed </w:t>
            </w:r>
            <w:r>
              <w:rPr>
                <w:sz w:val="20"/>
                <w:szCs w:val="20"/>
              </w:rPr>
              <w:t xml:space="preserve">once the plan or programme is adopted, </w:t>
            </w:r>
            <w:r w:rsidRPr="002E2A45">
              <w:rPr>
                <w:sz w:val="20"/>
                <w:szCs w:val="20"/>
              </w:rPr>
              <w:t xml:space="preserve">and </w:t>
            </w:r>
            <w:r>
              <w:rPr>
                <w:sz w:val="20"/>
                <w:szCs w:val="20"/>
              </w:rPr>
              <w:t xml:space="preserve">to make the following items </w:t>
            </w:r>
            <w:r w:rsidRPr="002E2A45">
              <w:rPr>
                <w:sz w:val="20"/>
                <w:szCs w:val="20"/>
              </w:rPr>
              <w:t>available</w:t>
            </w:r>
            <w:r>
              <w:rPr>
                <w:sz w:val="20"/>
                <w:szCs w:val="20"/>
              </w:rPr>
              <w:t xml:space="preserve"> to those informed:</w:t>
            </w:r>
          </w:p>
          <w:p w14:paraId="51BBB3C2" w14:textId="77777777" w:rsidR="00C847C1" w:rsidRDefault="00C847C1" w:rsidP="00C847C1">
            <w:pPr>
              <w:rPr>
                <w:sz w:val="20"/>
                <w:szCs w:val="20"/>
              </w:rPr>
            </w:pPr>
          </w:p>
          <w:p w14:paraId="28EBF3EB" w14:textId="77777777" w:rsidR="000744DC" w:rsidRPr="003C3805" w:rsidRDefault="000744DC" w:rsidP="005028DC">
            <w:pPr>
              <w:pStyle w:val="ListParagraph"/>
              <w:numPr>
                <w:ilvl w:val="0"/>
                <w:numId w:val="9"/>
              </w:numPr>
              <w:ind w:left="360" w:hanging="284"/>
              <w:rPr>
                <w:sz w:val="20"/>
                <w:szCs w:val="20"/>
              </w:rPr>
            </w:pPr>
            <w:r w:rsidRPr="003C3805">
              <w:rPr>
                <w:sz w:val="20"/>
                <w:szCs w:val="20"/>
              </w:rPr>
              <w:t>the adopted plan or programme, and;</w:t>
            </w:r>
          </w:p>
          <w:p w14:paraId="7EF93B0F" w14:textId="15208FA4" w:rsidR="000744DC" w:rsidRDefault="000744DC" w:rsidP="006F7047">
            <w:pPr>
              <w:pStyle w:val="ListParagraph"/>
              <w:numPr>
                <w:ilvl w:val="0"/>
                <w:numId w:val="9"/>
              </w:numPr>
              <w:ind w:left="360" w:hanging="284"/>
              <w:rPr>
                <w:sz w:val="20"/>
                <w:szCs w:val="20"/>
              </w:rPr>
            </w:pPr>
            <w:r w:rsidRPr="003C3805">
              <w:rPr>
                <w:sz w:val="20"/>
                <w:szCs w:val="20"/>
              </w:rPr>
              <w:t>a statement of adoption, summarising amongst others how the results of the transboundary consultations have been taken into account</w:t>
            </w:r>
            <w:r>
              <w:rPr>
                <w:sz w:val="20"/>
                <w:szCs w:val="20"/>
              </w:rPr>
              <w:t>,</w:t>
            </w:r>
            <w:r w:rsidRPr="003C3805">
              <w:rPr>
                <w:sz w:val="20"/>
                <w:szCs w:val="20"/>
              </w:rPr>
              <w:t xml:space="preserve"> and the measures decided concerning monitoring.</w:t>
            </w:r>
          </w:p>
        </w:tc>
      </w:tr>
      <w:tr w:rsidR="0070222B" w14:paraId="55FA5F2F" w14:textId="77777777" w:rsidTr="00C847C1">
        <w:trPr>
          <w:cantSplit/>
          <w:trHeight w:val="1134"/>
        </w:trPr>
        <w:tc>
          <w:tcPr>
            <w:tcW w:w="704" w:type="dxa"/>
            <w:shd w:val="clear" w:color="auto" w:fill="9CC2E5" w:themeFill="accent1" w:themeFillTint="99"/>
            <w:textDirection w:val="btLr"/>
            <w:vAlign w:val="center"/>
          </w:tcPr>
          <w:p w14:paraId="6B05C5E0" w14:textId="77777777" w:rsidR="0070222B" w:rsidRPr="00C847C1" w:rsidRDefault="0070222B" w:rsidP="00C847C1">
            <w:pPr>
              <w:ind w:left="113" w:right="113"/>
              <w:jc w:val="center"/>
              <w:rPr>
                <w:b/>
                <w:sz w:val="20"/>
                <w:szCs w:val="20"/>
              </w:rPr>
            </w:pPr>
            <w:r w:rsidRPr="00C847C1">
              <w:rPr>
                <w:b/>
                <w:sz w:val="20"/>
                <w:szCs w:val="20"/>
              </w:rPr>
              <w:t>Espoo Convention/ Kiev Protocol</w:t>
            </w:r>
          </w:p>
        </w:tc>
        <w:tc>
          <w:tcPr>
            <w:tcW w:w="4107" w:type="dxa"/>
          </w:tcPr>
          <w:p w14:paraId="578525A6" w14:textId="77777777" w:rsidR="001128D7" w:rsidRDefault="001128D7" w:rsidP="001128D7">
            <w:pPr>
              <w:rPr>
                <w:sz w:val="20"/>
                <w:szCs w:val="20"/>
              </w:rPr>
            </w:pPr>
          </w:p>
          <w:p w14:paraId="2A023423" w14:textId="77777777" w:rsidR="001128D7" w:rsidRDefault="001128D7" w:rsidP="001128D7">
            <w:pPr>
              <w:rPr>
                <w:sz w:val="20"/>
                <w:szCs w:val="20"/>
              </w:rPr>
            </w:pPr>
          </w:p>
          <w:p w14:paraId="3196EC98" w14:textId="77777777" w:rsidR="0070222B" w:rsidRPr="001128D7" w:rsidRDefault="0070222B" w:rsidP="001128D7">
            <w:pPr>
              <w:rPr>
                <w:sz w:val="20"/>
                <w:szCs w:val="20"/>
              </w:rPr>
            </w:pPr>
            <w:r w:rsidRPr="001128D7">
              <w:rPr>
                <w:sz w:val="20"/>
                <w:szCs w:val="20"/>
              </w:rPr>
              <w:t>The Party of origin to provide to the affected Party the final decision together with reasons and considerations on which it was based</w:t>
            </w:r>
            <w:r w:rsidR="00077573" w:rsidRPr="001128D7">
              <w:rPr>
                <w:sz w:val="20"/>
                <w:szCs w:val="20"/>
              </w:rPr>
              <w:t>.</w:t>
            </w:r>
          </w:p>
          <w:p w14:paraId="05FF60CF" w14:textId="77777777" w:rsidR="0070222B" w:rsidRPr="008D496E" w:rsidRDefault="0070222B" w:rsidP="001128D7">
            <w:pPr>
              <w:pStyle w:val="ListParagraph"/>
              <w:ind w:left="399"/>
              <w:rPr>
                <w:sz w:val="20"/>
                <w:szCs w:val="20"/>
              </w:rPr>
            </w:pPr>
          </w:p>
        </w:tc>
        <w:tc>
          <w:tcPr>
            <w:tcW w:w="4249" w:type="dxa"/>
          </w:tcPr>
          <w:p w14:paraId="313193A8" w14:textId="77777777" w:rsidR="0070222B" w:rsidRPr="002E2A45" w:rsidRDefault="0070222B" w:rsidP="0070222B">
            <w:pPr>
              <w:rPr>
                <w:sz w:val="20"/>
                <w:szCs w:val="20"/>
              </w:rPr>
            </w:pPr>
            <w:r w:rsidRPr="007D4442">
              <w:rPr>
                <w:sz w:val="20"/>
                <w:szCs w:val="20"/>
              </w:rPr>
              <w:t xml:space="preserve">A copy of the final plan or programme </w:t>
            </w:r>
            <w:r>
              <w:rPr>
                <w:sz w:val="20"/>
                <w:szCs w:val="20"/>
              </w:rPr>
              <w:t xml:space="preserve">to be provided to consulted Parties, </w:t>
            </w:r>
            <w:r w:rsidRPr="007D4442">
              <w:rPr>
                <w:sz w:val="20"/>
                <w:szCs w:val="20"/>
              </w:rPr>
              <w:t xml:space="preserve">together with a statement summarising how the environmental, including health, considerations have been integrated into it, how the comments received have been taken into account and the reasons for adopting it in the light of the reasonable alternatives considered. </w:t>
            </w:r>
          </w:p>
        </w:tc>
      </w:tr>
    </w:tbl>
    <w:p w14:paraId="01226F09" w14:textId="77777777" w:rsidR="00756120" w:rsidRPr="00756120" w:rsidRDefault="00756120" w:rsidP="00756120">
      <w:pPr>
        <w:pStyle w:val="ListParagraph"/>
        <w:spacing w:after="0" w:line="240" w:lineRule="auto"/>
        <w:rPr>
          <w:color w:val="000000" w:themeColor="text1"/>
        </w:rPr>
      </w:pPr>
    </w:p>
    <w:p w14:paraId="210A6165" w14:textId="77777777" w:rsidR="00756120" w:rsidRPr="00F57320" w:rsidRDefault="00756120" w:rsidP="00F57320">
      <w:pPr>
        <w:spacing w:after="0" w:line="240" w:lineRule="auto"/>
        <w:rPr>
          <w:color w:val="000000" w:themeColor="text1"/>
        </w:rPr>
      </w:pPr>
    </w:p>
    <w:p w14:paraId="26473137" w14:textId="77777777" w:rsidR="00F57320" w:rsidRPr="00F57320" w:rsidRDefault="00F57320" w:rsidP="005028DC">
      <w:pPr>
        <w:pStyle w:val="ListParagraph"/>
        <w:numPr>
          <w:ilvl w:val="0"/>
          <w:numId w:val="18"/>
        </w:numPr>
        <w:spacing w:after="0" w:line="240" w:lineRule="auto"/>
        <w:rPr>
          <w:color w:val="000000" w:themeColor="text1"/>
        </w:rPr>
      </w:pPr>
      <w:r w:rsidRPr="00F57320">
        <w:rPr>
          <w:color w:val="000000" w:themeColor="text1"/>
        </w:rPr>
        <w:t xml:space="preserve">The use of regional and national databases should be strengthened; the same applies to </w:t>
      </w:r>
      <w:r w:rsidR="00756120" w:rsidRPr="00F57320">
        <w:rPr>
          <w:color w:val="000000" w:themeColor="text1"/>
        </w:rPr>
        <w:t>bi- and multi-lateral cooperation networks and information systems</w:t>
      </w:r>
      <w:r w:rsidRPr="00F57320">
        <w:rPr>
          <w:color w:val="000000" w:themeColor="text1"/>
        </w:rPr>
        <w:t xml:space="preserve"> (such as the MAP Info-system). </w:t>
      </w:r>
    </w:p>
    <w:p w14:paraId="1437E1F0" w14:textId="77777777" w:rsidR="00756120" w:rsidRPr="00756120" w:rsidRDefault="00756120" w:rsidP="00F57320">
      <w:pPr>
        <w:pStyle w:val="ListParagraph"/>
        <w:spacing w:after="0" w:line="240" w:lineRule="auto"/>
        <w:rPr>
          <w:color w:val="000000" w:themeColor="text1"/>
        </w:rPr>
      </w:pPr>
    </w:p>
    <w:p w14:paraId="3EE372F1" w14:textId="77777777" w:rsidR="00756120" w:rsidRPr="00756120" w:rsidRDefault="00F57320" w:rsidP="005028DC">
      <w:pPr>
        <w:pStyle w:val="ListParagraph"/>
        <w:numPr>
          <w:ilvl w:val="0"/>
          <w:numId w:val="18"/>
        </w:numPr>
        <w:spacing w:after="0" w:line="240" w:lineRule="auto"/>
        <w:rPr>
          <w:color w:val="000000" w:themeColor="text1"/>
        </w:rPr>
      </w:pPr>
      <w:r>
        <w:rPr>
          <w:color w:val="000000" w:themeColor="text1"/>
        </w:rPr>
        <w:t xml:space="preserve">A </w:t>
      </w:r>
      <w:r w:rsidR="00756120" w:rsidRPr="00756120">
        <w:rPr>
          <w:color w:val="000000" w:themeColor="text1"/>
        </w:rPr>
        <w:t xml:space="preserve">central repository on </w:t>
      </w:r>
      <w:r>
        <w:rPr>
          <w:color w:val="000000" w:themeColor="text1"/>
        </w:rPr>
        <w:t xml:space="preserve">transboundary environmental assessments should be </w:t>
      </w:r>
      <w:r w:rsidR="0030148B">
        <w:rPr>
          <w:color w:val="000000" w:themeColor="text1"/>
        </w:rPr>
        <w:t xml:space="preserve">established </w:t>
      </w:r>
      <w:r w:rsidR="00756120" w:rsidRPr="00756120">
        <w:rPr>
          <w:color w:val="000000" w:themeColor="text1"/>
        </w:rPr>
        <w:t>within the UN</w:t>
      </w:r>
      <w:r w:rsidR="0030148B">
        <w:rPr>
          <w:color w:val="000000" w:themeColor="text1"/>
        </w:rPr>
        <w:t xml:space="preserve"> </w:t>
      </w:r>
      <w:r w:rsidR="00756120" w:rsidRPr="00756120">
        <w:rPr>
          <w:color w:val="000000" w:themeColor="text1"/>
        </w:rPr>
        <w:t>E</w:t>
      </w:r>
      <w:r w:rsidR="0030148B">
        <w:rPr>
          <w:color w:val="000000" w:themeColor="text1"/>
        </w:rPr>
        <w:t xml:space="preserve">nvironment/ </w:t>
      </w:r>
      <w:r w:rsidR="00756120" w:rsidRPr="00756120">
        <w:rPr>
          <w:color w:val="000000" w:themeColor="text1"/>
        </w:rPr>
        <w:t>MAP system with identified Focal Points</w:t>
      </w:r>
      <w:r w:rsidR="00DE4621">
        <w:rPr>
          <w:color w:val="000000" w:themeColor="text1"/>
        </w:rPr>
        <w:t xml:space="preserve">. The repository should contain a </w:t>
      </w:r>
      <w:r w:rsidR="00756120" w:rsidRPr="00756120">
        <w:rPr>
          <w:color w:val="000000" w:themeColor="text1"/>
        </w:rPr>
        <w:t xml:space="preserve">brief description on national procedures in </w:t>
      </w:r>
      <w:r w:rsidR="00DE4621">
        <w:rPr>
          <w:color w:val="000000" w:themeColor="text1"/>
        </w:rPr>
        <w:t xml:space="preserve">English, French or Arabic, and </w:t>
      </w:r>
      <w:r w:rsidR="00756120" w:rsidRPr="00756120">
        <w:rPr>
          <w:color w:val="000000" w:themeColor="text1"/>
        </w:rPr>
        <w:t>links to nationa</w:t>
      </w:r>
      <w:r w:rsidR="00DE4621">
        <w:rPr>
          <w:color w:val="000000" w:themeColor="text1"/>
        </w:rPr>
        <w:t xml:space="preserve">l websites that have information on transboundary environmental assessments. </w:t>
      </w:r>
    </w:p>
    <w:p w14:paraId="36BD52F8" w14:textId="77777777" w:rsidR="00077573" w:rsidRPr="00756120" w:rsidRDefault="00077573" w:rsidP="00756120">
      <w:pPr>
        <w:spacing w:after="0" w:line="240" w:lineRule="auto"/>
        <w:ind w:firstLine="50"/>
        <w:rPr>
          <w:color w:val="000000" w:themeColor="text1"/>
        </w:rPr>
      </w:pPr>
    </w:p>
    <w:p w14:paraId="1824B3EF" w14:textId="63604286" w:rsidR="00DE4621" w:rsidRDefault="00DE4621" w:rsidP="005028DC">
      <w:pPr>
        <w:pStyle w:val="ListParagraph"/>
        <w:numPr>
          <w:ilvl w:val="0"/>
          <w:numId w:val="18"/>
        </w:numPr>
        <w:spacing w:after="0" w:line="240" w:lineRule="auto"/>
        <w:rPr>
          <w:color w:val="000000" w:themeColor="text1"/>
        </w:rPr>
      </w:pPr>
      <w:r w:rsidRPr="00DE4621">
        <w:rPr>
          <w:color w:val="000000" w:themeColor="text1"/>
        </w:rPr>
        <w:t>C</w:t>
      </w:r>
      <w:r w:rsidR="00077573" w:rsidRPr="00DE4621">
        <w:rPr>
          <w:color w:val="000000" w:themeColor="text1"/>
        </w:rPr>
        <w:t>ountries are strongly recommended to continue cooperation and ex</w:t>
      </w:r>
      <w:r w:rsidR="00756120" w:rsidRPr="00DE4621">
        <w:rPr>
          <w:color w:val="000000" w:themeColor="text1"/>
        </w:rPr>
        <w:t>change all relevant information</w:t>
      </w:r>
      <w:r w:rsidRPr="00DE4621">
        <w:rPr>
          <w:color w:val="000000" w:themeColor="text1"/>
        </w:rPr>
        <w:t xml:space="preserve"> on the post-project analysis and/ or </w:t>
      </w:r>
      <w:r w:rsidR="008D496E">
        <w:rPr>
          <w:color w:val="000000" w:themeColor="text1"/>
        </w:rPr>
        <w:t xml:space="preserve">for the </w:t>
      </w:r>
      <w:r w:rsidRPr="00DE4621">
        <w:rPr>
          <w:color w:val="000000" w:themeColor="text1"/>
        </w:rPr>
        <w:t>monitoring phase</w:t>
      </w:r>
      <w:r w:rsidR="008D496E">
        <w:rPr>
          <w:color w:val="000000" w:themeColor="text1"/>
        </w:rPr>
        <w:t xml:space="preserve">, </w:t>
      </w:r>
      <w:r w:rsidR="009311AC">
        <w:rPr>
          <w:color w:val="000000" w:themeColor="text1"/>
        </w:rPr>
        <w:t xml:space="preserve">in particular as </w:t>
      </w:r>
      <w:r>
        <w:rPr>
          <w:color w:val="000000" w:themeColor="text1"/>
        </w:rPr>
        <w:t xml:space="preserve">the </w:t>
      </w:r>
      <w:r w:rsidR="008D496E">
        <w:rPr>
          <w:color w:val="000000" w:themeColor="text1"/>
        </w:rPr>
        <w:t>existing reviews suggest experiences with implementation of these provisions are rather limited</w:t>
      </w:r>
      <w:r>
        <w:rPr>
          <w:rStyle w:val="FootnoteReference"/>
          <w:color w:val="000000" w:themeColor="text1"/>
        </w:rPr>
        <w:footnoteReference w:id="16"/>
      </w:r>
      <w:r w:rsidR="009311AC">
        <w:rPr>
          <w:color w:val="000000" w:themeColor="text1"/>
        </w:rPr>
        <w:t xml:space="preserve"> and there is a need for improvements in this area</w:t>
      </w:r>
      <w:r w:rsidRPr="00DE4621">
        <w:rPr>
          <w:color w:val="000000" w:themeColor="text1"/>
        </w:rPr>
        <w:t>.</w:t>
      </w:r>
      <w:r w:rsidR="006F7047">
        <w:rPr>
          <w:color w:val="000000" w:themeColor="text1"/>
        </w:rPr>
        <w:t xml:space="preserve"> Development of joint monitoring programmes is encouraged. </w:t>
      </w:r>
      <w:r w:rsidRPr="00DE4621">
        <w:rPr>
          <w:color w:val="000000" w:themeColor="text1"/>
        </w:rPr>
        <w:t xml:space="preserve">   </w:t>
      </w:r>
    </w:p>
    <w:p w14:paraId="5317A85F" w14:textId="77777777" w:rsidR="00DE4621" w:rsidRPr="00DE4621" w:rsidRDefault="00DE4621" w:rsidP="00DE4621">
      <w:pPr>
        <w:spacing w:after="0" w:line="240" w:lineRule="auto"/>
        <w:rPr>
          <w:color w:val="000000" w:themeColor="text1"/>
        </w:rPr>
      </w:pPr>
    </w:p>
    <w:p w14:paraId="4DA32877" w14:textId="77777777" w:rsidR="00756120" w:rsidRDefault="00756120" w:rsidP="005028DC">
      <w:pPr>
        <w:pStyle w:val="ListParagraph"/>
        <w:numPr>
          <w:ilvl w:val="0"/>
          <w:numId w:val="18"/>
        </w:numPr>
        <w:spacing w:after="0" w:line="240" w:lineRule="auto"/>
        <w:rPr>
          <w:color w:val="000000" w:themeColor="text1"/>
        </w:rPr>
      </w:pPr>
      <w:r w:rsidRPr="00DE4621">
        <w:rPr>
          <w:color w:val="000000" w:themeColor="text1"/>
        </w:rPr>
        <w:t>For large-scale transboundary projects, preparation of joint environmental report</w:t>
      </w:r>
      <w:r w:rsidR="009311AC">
        <w:rPr>
          <w:color w:val="000000" w:themeColor="text1"/>
        </w:rPr>
        <w:t>s</w:t>
      </w:r>
      <w:r w:rsidRPr="00DE4621">
        <w:rPr>
          <w:color w:val="000000" w:themeColor="text1"/>
        </w:rPr>
        <w:t xml:space="preserve"> for entire project</w:t>
      </w:r>
      <w:r w:rsidR="009311AC">
        <w:rPr>
          <w:color w:val="000000" w:themeColor="text1"/>
        </w:rPr>
        <w:t>s</w:t>
      </w:r>
      <w:r w:rsidRPr="00DE4621">
        <w:rPr>
          <w:color w:val="000000" w:themeColor="text1"/>
        </w:rPr>
        <w:t xml:space="preserve"> is recommended (followed by individual national environmental reports). The Espoo Convention provides the legal ground for a joint EIA, on the basis of existing or new bilateral or multilateral agreements or other arrangements (Article 8 and Appendix VI, item (g)).</w:t>
      </w:r>
      <w:r w:rsidR="00E84447">
        <w:rPr>
          <w:color w:val="000000" w:themeColor="text1"/>
        </w:rPr>
        <w:t xml:space="preserve"> </w:t>
      </w:r>
      <w:r w:rsidRPr="00DE4621">
        <w:rPr>
          <w:color w:val="000000" w:themeColor="text1"/>
        </w:rPr>
        <w:t xml:space="preserve">For the large-scale transboundary projects, all the countries in which the project would be developed are considered countries of origin, and a joint </w:t>
      </w:r>
      <w:r w:rsidR="009311AC">
        <w:rPr>
          <w:color w:val="000000" w:themeColor="text1"/>
        </w:rPr>
        <w:t xml:space="preserve">process </w:t>
      </w:r>
      <w:r w:rsidRPr="00DE4621">
        <w:rPr>
          <w:color w:val="000000" w:themeColor="text1"/>
        </w:rPr>
        <w:t xml:space="preserve">may help avoid extensive EIA documentation and allow for an integrated assessment. Exchange of information gains significance in case of joint assessments. </w:t>
      </w:r>
    </w:p>
    <w:p w14:paraId="30C26EB2" w14:textId="77777777" w:rsidR="00173C46" w:rsidRPr="00CE1B54" w:rsidRDefault="00173C46" w:rsidP="00CE1B54">
      <w:pPr>
        <w:pStyle w:val="Heading2"/>
        <w:spacing w:before="0" w:line="240" w:lineRule="auto"/>
        <w:rPr>
          <w:rFonts w:asciiTheme="minorHAnsi" w:hAnsiTheme="minorHAnsi" w:cstheme="minorHAnsi"/>
          <w:b w:val="0"/>
        </w:rPr>
      </w:pPr>
      <w:bookmarkStart w:id="14" w:name="_Toc5308784"/>
      <w:r w:rsidRPr="00CE1B54">
        <w:rPr>
          <w:rFonts w:asciiTheme="minorHAnsi" w:hAnsiTheme="minorHAnsi" w:cstheme="minorHAnsi"/>
          <w:b w:val="0"/>
        </w:rPr>
        <w:lastRenderedPageBreak/>
        <w:t>Consultations</w:t>
      </w:r>
      <w:bookmarkEnd w:id="14"/>
      <w:r w:rsidRPr="00CE1B54">
        <w:rPr>
          <w:rFonts w:asciiTheme="minorHAnsi" w:hAnsiTheme="minorHAnsi" w:cstheme="minorHAnsi"/>
          <w:b w:val="0"/>
        </w:rPr>
        <w:t xml:space="preserve"> </w:t>
      </w:r>
    </w:p>
    <w:p w14:paraId="2E1D73E3" w14:textId="77777777" w:rsidR="00077573" w:rsidRPr="00CE1B54" w:rsidRDefault="00077573" w:rsidP="00CE1B54">
      <w:pPr>
        <w:spacing w:after="0" w:line="240" w:lineRule="auto"/>
        <w:rPr>
          <w:rFonts w:cstheme="minorHAnsi"/>
        </w:rPr>
      </w:pPr>
    </w:p>
    <w:p w14:paraId="3AF3A169" w14:textId="75EFDBC9" w:rsidR="007048DB" w:rsidRDefault="007048DB" w:rsidP="00CE1B54">
      <w:pPr>
        <w:spacing w:after="0" w:line="240" w:lineRule="auto"/>
        <w:rPr>
          <w:rFonts w:cstheme="minorHAnsi"/>
        </w:rPr>
      </w:pPr>
      <w:r w:rsidRPr="00CE1B54">
        <w:rPr>
          <w:rFonts w:cstheme="minorHAnsi"/>
        </w:rPr>
        <w:t>Consultations</w:t>
      </w:r>
      <w:r w:rsidR="00103F9C">
        <w:rPr>
          <w:rFonts w:cstheme="minorHAnsi"/>
        </w:rPr>
        <w:t xml:space="preserve"> in transboundary procedures</w:t>
      </w:r>
      <w:r w:rsidRPr="00CE1B54">
        <w:rPr>
          <w:rFonts w:cstheme="minorHAnsi"/>
        </w:rPr>
        <w:t xml:space="preserve"> refer to cooperation and exchange of opinions between concerned countries, as well as to public participation and provision </w:t>
      </w:r>
      <w:r w:rsidR="00103F9C">
        <w:rPr>
          <w:rFonts w:cstheme="minorHAnsi"/>
        </w:rPr>
        <w:t xml:space="preserve">of </w:t>
      </w:r>
      <w:r w:rsidRPr="00CE1B54">
        <w:rPr>
          <w:rFonts w:cstheme="minorHAnsi"/>
        </w:rPr>
        <w:t>comment</w:t>
      </w:r>
      <w:r w:rsidR="00103F9C">
        <w:rPr>
          <w:rFonts w:cstheme="minorHAnsi"/>
        </w:rPr>
        <w:t>s</w:t>
      </w:r>
      <w:r w:rsidRPr="00CE1B54">
        <w:rPr>
          <w:rFonts w:cstheme="minorHAnsi"/>
        </w:rPr>
        <w:t>.</w:t>
      </w:r>
      <w:r w:rsidR="00103F9C">
        <w:rPr>
          <w:rFonts w:cstheme="minorHAnsi"/>
        </w:rPr>
        <w:t xml:space="preserve"> They are </w:t>
      </w:r>
      <w:r w:rsidR="00A674B8">
        <w:rPr>
          <w:rFonts w:cstheme="minorHAnsi"/>
        </w:rPr>
        <w:t xml:space="preserve">typically </w:t>
      </w:r>
      <w:r w:rsidR="006F7047">
        <w:rPr>
          <w:rFonts w:cstheme="minorHAnsi"/>
        </w:rPr>
        <w:t xml:space="preserve">conducted </w:t>
      </w:r>
      <w:r w:rsidR="00103F9C">
        <w:rPr>
          <w:rFonts w:cstheme="minorHAnsi"/>
        </w:rPr>
        <w:t xml:space="preserve">after </w:t>
      </w:r>
      <w:r>
        <w:rPr>
          <w:rFonts w:cstheme="minorHAnsi"/>
        </w:rPr>
        <w:t xml:space="preserve">environmental assessment documentation </w:t>
      </w:r>
      <w:r w:rsidR="00103F9C">
        <w:rPr>
          <w:rFonts w:cstheme="minorHAnsi"/>
        </w:rPr>
        <w:t xml:space="preserve">is distributed </w:t>
      </w:r>
      <w:r>
        <w:rPr>
          <w:rFonts w:cstheme="minorHAnsi"/>
        </w:rPr>
        <w:t xml:space="preserve">to authorities in the areas likely to be affected </w:t>
      </w:r>
      <w:r w:rsidR="00103F9C">
        <w:rPr>
          <w:rFonts w:cstheme="minorHAnsi"/>
        </w:rPr>
        <w:t>and to the public</w:t>
      </w:r>
      <w:r w:rsidR="009311AC">
        <w:rPr>
          <w:rFonts w:cstheme="minorHAnsi"/>
        </w:rPr>
        <w:t xml:space="preserve">. Some form of consultations </w:t>
      </w:r>
      <w:r w:rsidR="00103F9C">
        <w:rPr>
          <w:rFonts w:cstheme="minorHAnsi"/>
        </w:rPr>
        <w:t xml:space="preserve">may be conducted even at </w:t>
      </w:r>
      <w:r w:rsidR="009311AC">
        <w:rPr>
          <w:rFonts w:cstheme="minorHAnsi"/>
        </w:rPr>
        <w:t xml:space="preserve">the </w:t>
      </w:r>
      <w:r w:rsidR="00103F9C">
        <w:rPr>
          <w:rFonts w:cstheme="minorHAnsi"/>
        </w:rPr>
        <w:t>pre-notification phase</w:t>
      </w:r>
      <w:r w:rsidR="009311AC">
        <w:rPr>
          <w:rFonts w:cstheme="minorHAnsi"/>
        </w:rPr>
        <w:t xml:space="preserve">, while public participation is </w:t>
      </w:r>
      <w:r w:rsidR="00A674B8">
        <w:rPr>
          <w:rFonts w:cstheme="minorHAnsi"/>
        </w:rPr>
        <w:t xml:space="preserve">often </w:t>
      </w:r>
      <w:r w:rsidR="009311AC">
        <w:rPr>
          <w:rFonts w:cstheme="minorHAnsi"/>
        </w:rPr>
        <w:t xml:space="preserve">organised in two rounds - </w:t>
      </w:r>
      <w:r w:rsidR="009311AC" w:rsidRPr="00CE1B54">
        <w:rPr>
          <w:rFonts w:cstheme="minorHAnsi"/>
        </w:rPr>
        <w:t>before and after the EIS/ ER are prepared</w:t>
      </w:r>
      <w:r w:rsidR="009311AC">
        <w:rPr>
          <w:rFonts w:cstheme="minorHAnsi"/>
        </w:rPr>
        <w:t xml:space="preserve">. </w:t>
      </w:r>
      <w:r w:rsidR="00103F9C">
        <w:rPr>
          <w:rFonts w:cstheme="minorHAnsi"/>
        </w:rPr>
        <w:t xml:space="preserve"> </w:t>
      </w:r>
    </w:p>
    <w:p w14:paraId="2F83F9BC" w14:textId="77777777" w:rsidR="007048DB" w:rsidRDefault="007048DB" w:rsidP="00CE1B54">
      <w:pPr>
        <w:spacing w:after="0" w:line="240" w:lineRule="auto"/>
        <w:rPr>
          <w:rFonts w:cstheme="minorHAnsi"/>
        </w:rPr>
      </w:pPr>
    </w:p>
    <w:p w14:paraId="75106ACC" w14:textId="2E6D09BF" w:rsidR="007048DB" w:rsidRDefault="00103F9C" w:rsidP="00CE1B54">
      <w:pPr>
        <w:spacing w:after="0" w:line="240" w:lineRule="auto"/>
        <w:rPr>
          <w:rFonts w:cstheme="minorHAnsi"/>
        </w:rPr>
      </w:pPr>
      <w:r>
        <w:rPr>
          <w:rFonts w:cstheme="minorHAnsi"/>
        </w:rPr>
        <w:t>The l</w:t>
      </w:r>
      <w:r w:rsidRPr="007048DB">
        <w:rPr>
          <w:rFonts w:cstheme="minorHAnsi"/>
        </w:rPr>
        <w:t>ikely transboundary impact</w:t>
      </w:r>
      <w:r>
        <w:rPr>
          <w:rFonts w:cstheme="minorHAnsi"/>
        </w:rPr>
        <w:t xml:space="preserve">s </w:t>
      </w:r>
      <w:r w:rsidRPr="007048DB">
        <w:rPr>
          <w:rFonts w:cstheme="minorHAnsi"/>
        </w:rPr>
        <w:t xml:space="preserve">of the proposed </w:t>
      </w:r>
      <w:r>
        <w:rPr>
          <w:rFonts w:cstheme="minorHAnsi"/>
        </w:rPr>
        <w:t xml:space="preserve">project, plan or programme </w:t>
      </w:r>
      <w:r w:rsidRPr="007048DB">
        <w:rPr>
          <w:rFonts w:cstheme="minorHAnsi"/>
        </w:rPr>
        <w:t>and measures to mitigate or eliminate the impacts</w:t>
      </w:r>
      <w:r>
        <w:rPr>
          <w:rFonts w:cstheme="minorHAnsi"/>
        </w:rPr>
        <w:t xml:space="preserve"> are the most common subject</w:t>
      </w:r>
      <w:r w:rsidR="008600EB">
        <w:rPr>
          <w:rFonts w:cstheme="minorHAnsi"/>
        </w:rPr>
        <w:t>s</w:t>
      </w:r>
      <w:r>
        <w:rPr>
          <w:rFonts w:cstheme="minorHAnsi"/>
        </w:rPr>
        <w:t xml:space="preserve"> of consultations conducted by </w:t>
      </w:r>
      <w:r w:rsidRPr="007048DB">
        <w:rPr>
          <w:rFonts w:cstheme="minorHAnsi"/>
        </w:rPr>
        <w:t xml:space="preserve">the country of origin with affected countries </w:t>
      </w:r>
      <w:r>
        <w:rPr>
          <w:rFonts w:cstheme="minorHAnsi"/>
        </w:rPr>
        <w:t>a</w:t>
      </w:r>
      <w:r w:rsidR="007048DB" w:rsidRPr="007048DB">
        <w:rPr>
          <w:rFonts w:cstheme="minorHAnsi"/>
        </w:rPr>
        <w:t>fter preparation of the environmental assessment documentation</w:t>
      </w:r>
      <w:r>
        <w:rPr>
          <w:rFonts w:cstheme="minorHAnsi"/>
        </w:rPr>
        <w:t>. C</w:t>
      </w:r>
      <w:r w:rsidR="007048DB" w:rsidRPr="007048DB">
        <w:rPr>
          <w:rFonts w:cstheme="minorHAnsi"/>
        </w:rPr>
        <w:t xml:space="preserve">onsultations may </w:t>
      </w:r>
      <w:r>
        <w:rPr>
          <w:rFonts w:cstheme="minorHAnsi"/>
        </w:rPr>
        <w:t xml:space="preserve">also </w:t>
      </w:r>
      <w:r w:rsidR="007048DB" w:rsidRPr="007048DB">
        <w:rPr>
          <w:rFonts w:cstheme="minorHAnsi"/>
        </w:rPr>
        <w:t xml:space="preserve">address </w:t>
      </w:r>
      <w:r>
        <w:rPr>
          <w:rFonts w:cstheme="minorHAnsi"/>
        </w:rPr>
        <w:t xml:space="preserve">considered </w:t>
      </w:r>
      <w:r w:rsidR="007048DB" w:rsidRPr="007048DB">
        <w:rPr>
          <w:rFonts w:cstheme="minorHAnsi"/>
        </w:rPr>
        <w:t xml:space="preserve">alternatives and any other </w:t>
      </w:r>
      <w:r w:rsidR="008600EB">
        <w:rPr>
          <w:rFonts w:cstheme="minorHAnsi"/>
        </w:rPr>
        <w:t>relevant topic</w:t>
      </w:r>
      <w:r w:rsidR="00744AB0">
        <w:rPr>
          <w:rFonts w:cstheme="minorHAnsi"/>
        </w:rPr>
        <w:t xml:space="preserve">. </w:t>
      </w:r>
    </w:p>
    <w:p w14:paraId="0235C70D" w14:textId="77777777" w:rsidR="00442F01" w:rsidRDefault="00442F01" w:rsidP="00CE1B54">
      <w:pPr>
        <w:spacing w:after="0" w:line="240" w:lineRule="auto"/>
        <w:rPr>
          <w:rFonts w:cstheme="minorHAnsi"/>
        </w:rPr>
      </w:pPr>
    </w:p>
    <w:p w14:paraId="067C7434" w14:textId="77777777" w:rsidR="00442F01" w:rsidRDefault="00442F01" w:rsidP="00442F01">
      <w:pPr>
        <w:spacing w:after="0" w:line="240" w:lineRule="auto"/>
        <w:rPr>
          <w:rFonts w:cstheme="minorHAnsi"/>
        </w:rPr>
      </w:pPr>
      <w:r>
        <w:rPr>
          <w:rFonts w:cstheme="minorHAnsi"/>
        </w:rPr>
        <w:t xml:space="preserve">Discussions </w:t>
      </w:r>
      <w:r w:rsidRPr="00744AB0">
        <w:rPr>
          <w:rFonts w:cstheme="minorHAnsi"/>
        </w:rPr>
        <w:t xml:space="preserve">between </w:t>
      </w:r>
      <w:r>
        <w:rPr>
          <w:rFonts w:cstheme="minorHAnsi"/>
        </w:rPr>
        <w:t xml:space="preserve">concerned countries in the consultative process usually include </w:t>
      </w:r>
      <w:r w:rsidRPr="00744AB0">
        <w:rPr>
          <w:rFonts w:cstheme="minorHAnsi"/>
        </w:rPr>
        <w:t xml:space="preserve">representatives of the competent </w:t>
      </w:r>
      <w:r>
        <w:rPr>
          <w:rFonts w:cstheme="minorHAnsi"/>
        </w:rPr>
        <w:t xml:space="preserve">and other relevant </w:t>
      </w:r>
      <w:r w:rsidRPr="00744AB0">
        <w:rPr>
          <w:rFonts w:cstheme="minorHAnsi"/>
        </w:rPr>
        <w:t>authorities</w:t>
      </w:r>
      <w:r>
        <w:rPr>
          <w:rFonts w:cstheme="minorHAnsi"/>
        </w:rPr>
        <w:t xml:space="preserve">, as well as the project proponents/ plan developers and expert teams that are conducting the assessments. </w:t>
      </w:r>
      <w:r w:rsidRPr="00744AB0">
        <w:rPr>
          <w:rFonts w:cstheme="minorHAnsi"/>
        </w:rPr>
        <w:t xml:space="preserve">Consultations </w:t>
      </w:r>
      <w:r>
        <w:rPr>
          <w:rFonts w:cstheme="minorHAnsi"/>
        </w:rPr>
        <w:t xml:space="preserve">between concerned countries </w:t>
      </w:r>
      <w:r w:rsidRPr="00744AB0">
        <w:rPr>
          <w:rFonts w:cstheme="minorHAnsi"/>
        </w:rPr>
        <w:t xml:space="preserve">may </w:t>
      </w:r>
      <w:r>
        <w:rPr>
          <w:rFonts w:cstheme="minorHAnsi"/>
        </w:rPr>
        <w:t xml:space="preserve">take various forms such as </w:t>
      </w:r>
      <w:r w:rsidRPr="00744AB0">
        <w:rPr>
          <w:rFonts w:cstheme="minorHAnsi"/>
        </w:rPr>
        <w:t xml:space="preserve">joint bodies, expert meetings, </w:t>
      </w:r>
      <w:r>
        <w:rPr>
          <w:rFonts w:cstheme="minorHAnsi"/>
        </w:rPr>
        <w:t xml:space="preserve">written communication </w:t>
      </w:r>
      <w:r w:rsidRPr="00744AB0">
        <w:rPr>
          <w:rFonts w:cstheme="minorHAnsi"/>
        </w:rPr>
        <w:t>and meetings of mid- and high-level officials</w:t>
      </w:r>
      <w:r>
        <w:rPr>
          <w:rFonts w:cstheme="minorHAnsi"/>
        </w:rPr>
        <w:t xml:space="preserve">. </w:t>
      </w:r>
    </w:p>
    <w:p w14:paraId="7BADE144" w14:textId="77777777" w:rsidR="00442F01" w:rsidRDefault="00442F01" w:rsidP="00CE1B54">
      <w:pPr>
        <w:pStyle w:val="Caption"/>
        <w:spacing w:after="0"/>
        <w:rPr>
          <w:rFonts w:cstheme="minorHAnsi"/>
          <w:i w:val="0"/>
          <w:iCs w:val="0"/>
          <w:color w:val="auto"/>
          <w:sz w:val="22"/>
          <w:szCs w:val="22"/>
        </w:rPr>
      </w:pPr>
    </w:p>
    <w:p w14:paraId="6D3C84D4" w14:textId="5C818C38" w:rsidR="00CE1B54" w:rsidRPr="00CE1B54" w:rsidRDefault="00CE1B54" w:rsidP="00CE1B54">
      <w:pPr>
        <w:pStyle w:val="Caption"/>
        <w:spacing w:after="0"/>
        <w:rPr>
          <w:rFonts w:cstheme="minorHAnsi"/>
          <w:sz w:val="20"/>
          <w:szCs w:val="20"/>
        </w:rPr>
      </w:pPr>
      <w:r w:rsidRPr="00CE1B54">
        <w:rPr>
          <w:rFonts w:cstheme="minorHAnsi"/>
          <w:sz w:val="20"/>
          <w:szCs w:val="20"/>
        </w:rPr>
        <w:t xml:space="preserve">Box </w:t>
      </w:r>
      <w:r w:rsidR="00347274">
        <w:rPr>
          <w:rFonts w:cstheme="minorHAnsi"/>
          <w:sz w:val="20"/>
          <w:szCs w:val="20"/>
        </w:rPr>
        <w:fldChar w:fldCharType="begin"/>
      </w:r>
      <w:r w:rsidR="00347274">
        <w:rPr>
          <w:rFonts w:cstheme="minorHAnsi"/>
          <w:sz w:val="20"/>
          <w:szCs w:val="20"/>
        </w:rPr>
        <w:instrText xml:space="preserve"> STYLEREF 1 \s </w:instrText>
      </w:r>
      <w:r w:rsidR="00347274">
        <w:rPr>
          <w:rFonts w:cstheme="minorHAnsi"/>
          <w:sz w:val="20"/>
          <w:szCs w:val="20"/>
        </w:rPr>
        <w:fldChar w:fldCharType="separate"/>
      </w:r>
      <w:r w:rsidR="005A000D">
        <w:rPr>
          <w:rFonts w:cstheme="minorHAnsi"/>
          <w:noProof/>
          <w:sz w:val="20"/>
          <w:szCs w:val="20"/>
        </w:rPr>
        <w:t>6</w:t>
      </w:r>
      <w:r w:rsidR="00347274">
        <w:rPr>
          <w:rFonts w:cstheme="minorHAnsi"/>
          <w:sz w:val="20"/>
          <w:szCs w:val="20"/>
        </w:rPr>
        <w:fldChar w:fldCharType="end"/>
      </w:r>
      <w:r w:rsidR="00347274">
        <w:rPr>
          <w:rFonts w:cstheme="minorHAnsi"/>
          <w:sz w:val="20"/>
          <w:szCs w:val="20"/>
        </w:rPr>
        <w:noBreakHyphen/>
      </w:r>
      <w:r w:rsidR="00347274">
        <w:rPr>
          <w:rFonts w:cstheme="minorHAnsi"/>
          <w:sz w:val="20"/>
          <w:szCs w:val="20"/>
        </w:rPr>
        <w:fldChar w:fldCharType="begin"/>
      </w:r>
      <w:r w:rsidR="00347274">
        <w:rPr>
          <w:rFonts w:cstheme="minorHAnsi"/>
          <w:sz w:val="20"/>
          <w:szCs w:val="20"/>
        </w:rPr>
        <w:instrText xml:space="preserve"> SEQ Box \* ARABIC \s 1 </w:instrText>
      </w:r>
      <w:r w:rsidR="00347274">
        <w:rPr>
          <w:rFonts w:cstheme="minorHAnsi"/>
          <w:sz w:val="20"/>
          <w:szCs w:val="20"/>
        </w:rPr>
        <w:fldChar w:fldCharType="separate"/>
      </w:r>
      <w:r w:rsidR="005A000D">
        <w:rPr>
          <w:rFonts w:cstheme="minorHAnsi"/>
          <w:noProof/>
          <w:sz w:val="20"/>
          <w:szCs w:val="20"/>
        </w:rPr>
        <w:t>3</w:t>
      </w:r>
      <w:r w:rsidR="00347274">
        <w:rPr>
          <w:rFonts w:cstheme="minorHAnsi"/>
          <w:sz w:val="20"/>
          <w:szCs w:val="20"/>
        </w:rPr>
        <w:fldChar w:fldCharType="end"/>
      </w:r>
      <w:r w:rsidRPr="00CE1B54">
        <w:rPr>
          <w:rFonts w:cstheme="minorHAnsi"/>
          <w:sz w:val="20"/>
          <w:szCs w:val="20"/>
        </w:rPr>
        <w:t xml:space="preserve">: Public </w:t>
      </w:r>
      <w:r w:rsidR="00FB5962">
        <w:rPr>
          <w:rFonts w:cstheme="minorHAnsi"/>
          <w:sz w:val="20"/>
          <w:szCs w:val="20"/>
        </w:rPr>
        <w:t xml:space="preserve">participation </w:t>
      </w:r>
      <w:r w:rsidR="00CC67F4">
        <w:rPr>
          <w:rFonts w:cstheme="minorHAnsi"/>
          <w:sz w:val="20"/>
          <w:szCs w:val="20"/>
        </w:rPr>
        <w:t xml:space="preserve">under </w:t>
      </w:r>
      <w:r w:rsidRPr="00CE1B54">
        <w:rPr>
          <w:rFonts w:cstheme="minorHAnsi"/>
          <w:sz w:val="20"/>
          <w:szCs w:val="20"/>
        </w:rPr>
        <w:t>the Espoo Convention</w:t>
      </w:r>
    </w:p>
    <w:tbl>
      <w:tblPr>
        <w:tblStyle w:val="TableGrid"/>
        <w:tblW w:w="0" w:type="auto"/>
        <w:tblLook w:val="04A0" w:firstRow="1" w:lastRow="0" w:firstColumn="1" w:lastColumn="0" w:noHBand="0" w:noVBand="1"/>
      </w:tblPr>
      <w:tblGrid>
        <w:gridCol w:w="9060"/>
      </w:tblGrid>
      <w:tr w:rsidR="00CE1B54" w:rsidRPr="00CE1B54" w14:paraId="0CAE9FE1" w14:textId="77777777" w:rsidTr="00CC3BD3">
        <w:tc>
          <w:tcPr>
            <w:tcW w:w="9062" w:type="dxa"/>
          </w:tcPr>
          <w:p w14:paraId="4B70D30A" w14:textId="77777777" w:rsidR="00CE1B54" w:rsidRDefault="00CE1B54" w:rsidP="00CE1B54">
            <w:pPr>
              <w:rPr>
                <w:rFonts w:cstheme="minorHAnsi"/>
                <w:b/>
                <w:sz w:val="20"/>
                <w:szCs w:val="20"/>
              </w:rPr>
            </w:pPr>
            <w:r w:rsidRPr="00CE1B54">
              <w:rPr>
                <w:rFonts w:cstheme="minorHAnsi"/>
                <w:b/>
                <w:sz w:val="20"/>
                <w:szCs w:val="20"/>
              </w:rPr>
              <w:t xml:space="preserve">Participation of the public:  </w:t>
            </w:r>
          </w:p>
          <w:p w14:paraId="47018607" w14:textId="4070335D" w:rsidR="00FB5962" w:rsidRPr="00674DE9" w:rsidRDefault="008A3032" w:rsidP="002249BD">
            <w:pPr>
              <w:pStyle w:val="ListParagraph"/>
              <w:numPr>
                <w:ilvl w:val="0"/>
                <w:numId w:val="28"/>
              </w:numPr>
              <w:rPr>
                <w:rFonts w:cstheme="minorHAnsi"/>
                <w:sz w:val="20"/>
                <w:szCs w:val="20"/>
              </w:rPr>
            </w:pPr>
            <w:r w:rsidRPr="00674DE9">
              <w:rPr>
                <w:rFonts w:cstheme="minorHAnsi"/>
                <w:sz w:val="20"/>
                <w:szCs w:val="20"/>
              </w:rPr>
              <w:t xml:space="preserve">Parties </w:t>
            </w:r>
            <w:r w:rsidR="00DC7D21">
              <w:rPr>
                <w:rFonts w:cstheme="minorHAnsi"/>
                <w:sz w:val="20"/>
                <w:szCs w:val="20"/>
              </w:rPr>
              <w:t xml:space="preserve">are </w:t>
            </w:r>
            <w:r w:rsidRPr="00674DE9">
              <w:rPr>
                <w:rFonts w:cstheme="minorHAnsi"/>
                <w:sz w:val="20"/>
                <w:szCs w:val="20"/>
              </w:rPr>
              <w:t xml:space="preserve">to </w:t>
            </w:r>
            <w:r w:rsidR="00FB5962" w:rsidRPr="00674DE9">
              <w:rPr>
                <w:rFonts w:cstheme="minorHAnsi"/>
                <w:sz w:val="20"/>
                <w:szCs w:val="20"/>
              </w:rPr>
              <w:t>establish a national EIA procedure that permits public participation</w:t>
            </w:r>
            <w:r w:rsidRPr="00674DE9">
              <w:rPr>
                <w:rFonts w:cstheme="minorHAnsi"/>
                <w:sz w:val="20"/>
                <w:szCs w:val="20"/>
              </w:rPr>
              <w:t xml:space="preserve"> (Article 2.2); </w:t>
            </w:r>
            <w:r w:rsidR="004C5920">
              <w:rPr>
                <w:rFonts w:cstheme="minorHAnsi"/>
                <w:sz w:val="20"/>
                <w:szCs w:val="20"/>
              </w:rPr>
              <w:t xml:space="preserve">national authorities determine </w:t>
            </w:r>
            <w:r w:rsidRPr="00674DE9">
              <w:rPr>
                <w:rFonts w:cstheme="minorHAnsi"/>
                <w:sz w:val="20"/>
                <w:szCs w:val="20"/>
              </w:rPr>
              <w:t xml:space="preserve">the details of such procedure </w:t>
            </w:r>
            <w:r w:rsidR="000C483B" w:rsidRPr="00674DE9">
              <w:rPr>
                <w:rFonts w:cstheme="minorHAnsi"/>
                <w:sz w:val="20"/>
                <w:szCs w:val="20"/>
              </w:rPr>
              <w:t xml:space="preserve">in line with provisions of the </w:t>
            </w:r>
            <w:r w:rsidRPr="00674DE9">
              <w:rPr>
                <w:rFonts w:cstheme="minorHAnsi"/>
                <w:sz w:val="20"/>
                <w:szCs w:val="20"/>
              </w:rPr>
              <w:t>Convention</w:t>
            </w:r>
            <w:r w:rsidR="000C483B" w:rsidRPr="00674DE9">
              <w:rPr>
                <w:rFonts w:cstheme="minorHAnsi"/>
                <w:sz w:val="20"/>
                <w:szCs w:val="20"/>
              </w:rPr>
              <w:t xml:space="preserve"> (Aarhus Convention </w:t>
            </w:r>
            <w:r w:rsidR="004C5920">
              <w:rPr>
                <w:rFonts w:cstheme="minorHAnsi"/>
                <w:sz w:val="20"/>
                <w:szCs w:val="20"/>
              </w:rPr>
              <w:t>may also apply in the countries that have ratified it</w:t>
            </w:r>
            <w:r w:rsidR="000C483B" w:rsidRPr="00674DE9">
              <w:rPr>
                <w:rFonts w:cstheme="minorHAnsi"/>
                <w:sz w:val="20"/>
                <w:szCs w:val="20"/>
              </w:rPr>
              <w:t xml:space="preserve">). </w:t>
            </w:r>
          </w:p>
          <w:p w14:paraId="6E1D6CED" w14:textId="4E872533" w:rsidR="00FB5962" w:rsidRDefault="000C483B" w:rsidP="002249BD">
            <w:pPr>
              <w:pStyle w:val="ListParagraph"/>
              <w:numPr>
                <w:ilvl w:val="0"/>
                <w:numId w:val="28"/>
              </w:numPr>
              <w:rPr>
                <w:rFonts w:cstheme="minorHAnsi"/>
                <w:sz w:val="20"/>
                <w:szCs w:val="20"/>
              </w:rPr>
            </w:pPr>
            <w:r w:rsidRPr="00674DE9">
              <w:rPr>
                <w:rFonts w:cstheme="minorHAnsi"/>
                <w:sz w:val="20"/>
                <w:szCs w:val="20"/>
              </w:rPr>
              <w:t xml:space="preserve">The party of origin is responsible for providing </w:t>
            </w:r>
            <w:r w:rsidR="00FB5962" w:rsidRPr="00674DE9">
              <w:rPr>
                <w:rFonts w:cstheme="minorHAnsi"/>
                <w:sz w:val="20"/>
                <w:szCs w:val="20"/>
              </w:rPr>
              <w:t xml:space="preserve">opportunities </w:t>
            </w:r>
            <w:r w:rsidR="004C5920">
              <w:rPr>
                <w:rFonts w:cstheme="minorHAnsi"/>
                <w:sz w:val="20"/>
                <w:szCs w:val="20"/>
              </w:rPr>
              <w:t xml:space="preserve">to the public in </w:t>
            </w:r>
            <w:r w:rsidR="00FB5962" w:rsidRPr="00674DE9">
              <w:rPr>
                <w:rFonts w:cstheme="minorHAnsi"/>
                <w:sz w:val="20"/>
                <w:szCs w:val="20"/>
              </w:rPr>
              <w:t xml:space="preserve">the affected </w:t>
            </w:r>
            <w:r w:rsidRPr="00674DE9">
              <w:rPr>
                <w:rFonts w:cstheme="minorHAnsi"/>
                <w:sz w:val="20"/>
                <w:szCs w:val="20"/>
              </w:rPr>
              <w:t>p</w:t>
            </w:r>
            <w:r w:rsidR="00FB5962" w:rsidRPr="00674DE9">
              <w:rPr>
                <w:rFonts w:cstheme="minorHAnsi"/>
                <w:sz w:val="20"/>
                <w:szCs w:val="20"/>
              </w:rPr>
              <w:t xml:space="preserve">arty to participate in the EIA process equivalent to those provided to the public in the </w:t>
            </w:r>
            <w:r w:rsidR="004C5920">
              <w:rPr>
                <w:rFonts w:cstheme="minorHAnsi"/>
                <w:sz w:val="20"/>
                <w:szCs w:val="20"/>
              </w:rPr>
              <w:t>p</w:t>
            </w:r>
            <w:r w:rsidR="00FB5962" w:rsidRPr="00674DE9">
              <w:rPr>
                <w:rFonts w:cstheme="minorHAnsi"/>
                <w:sz w:val="20"/>
                <w:szCs w:val="20"/>
              </w:rPr>
              <w:t>arty of origin</w:t>
            </w:r>
            <w:r w:rsidR="00674DE9" w:rsidRPr="00674DE9">
              <w:rPr>
                <w:rFonts w:cstheme="minorHAnsi"/>
                <w:sz w:val="20"/>
                <w:szCs w:val="20"/>
              </w:rPr>
              <w:t xml:space="preserve"> (Article 2.6)</w:t>
            </w:r>
            <w:r w:rsidR="00FB5962" w:rsidRPr="00674DE9">
              <w:rPr>
                <w:rFonts w:cstheme="minorHAnsi"/>
                <w:sz w:val="20"/>
                <w:szCs w:val="20"/>
              </w:rPr>
              <w:t>.</w:t>
            </w:r>
          </w:p>
          <w:p w14:paraId="5F305EC1" w14:textId="478F5627" w:rsidR="00413B64" w:rsidRPr="00674DE9" w:rsidRDefault="00413B64" w:rsidP="002249BD">
            <w:pPr>
              <w:pStyle w:val="ListParagraph"/>
              <w:numPr>
                <w:ilvl w:val="0"/>
                <w:numId w:val="28"/>
              </w:numPr>
              <w:rPr>
                <w:rFonts w:cstheme="minorHAnsi"/>
                <w:sz w:val="20"/>
                <w:szCs w:val="20"/>
              </w:rPr>
            </w:pPr>
            <w:r>
              <w:rPr>
                <w:rFonts w:cstheme="minorHAnsi"/>
                <w:sz w:val="20"/>
                <w:szCs w:val="20"/>
              </w:rPr>
              <w:t xml:space="preserve">It is recommended (by the Meeting of the Parties to </w:t>
            </w:r>
            <w:r w:rsidR="00A53996">
              <w:rPr>
                <w:rFonts w:cstheme="minorHAnsi"/>
                <w:sz w:val="20"/>
                <w:szCs w:val="20"/>
              </w:rPr>
              <w:t xml:space="preserve">the </w:t>
            </w:r>
            <w:r>
              <w:rPr>
                <w:rFonts w:cstheme="minorHAnsi"/>
                <w:sz w:val="20"/>
                <w:szCs w:val="20"/>
              </w:rPr>
              <w:t>Convention) that the costs of public participation (which may include</w:t>
            </w:r>
            <w:r w:rsidR="00DC7D21">
              <w:rPr>
                <w:rFonts w:cstheme="minorHAnsi"/>
                <w:sz w:val="20"/>
                <w:szCs w:val="20"/>
              </w:rPr>
              <w:t xml:space="preserve"> translation, information dissemination, and costs related to organisation of meetings/ public hearings</w:t>
            </w:r>
            <w:r w:rsidR="00A53996">
              <w:rPr>
                <w:rFonts w:cstheme="minorHAnsi"/>
                <w:sz w:val="20"/>
                <w:szCs w:val="20"/>
              </w:rPr>
              <w:t>)</w:t>
            </w:r>
            <w:r>
              <w:rPr>
                <w:rFonts w:cstheme="minorHAnsi"/>
                <w:sz w:val="20"/>
                <w:szCs w:val="20"/>
              </w:rPr>
              <w:t xml:space="preserve"> are borne by the party of origin.  </w:t>
            </w:r>
          </w:p>
          <w:p w14:paraId="6DF0C31D" w14:textId="77777777" w:rsidR="004C5920" w:rsidRDefault="004C5920" w:rsidP="00CE1B54">
            <w:pPr>
              <w:rPr>
                <w:rFonts w:cstheme="minorHAnsi"/>
                <w:b/>
                <w:sz w:val="20"/>
                <w:szCs w:val="20"/>
              </w:rPr>
            </w:pPr>
          </w:p>
          <w:p w14:paraId="455639DA" w14:textId="77777777" w:rsidR="00CE1B54" w:rsidRPr="00CE1B54" w:rsidRDefault="00CE1B54" w:rsidP="00CE1B54">
            <w:pPr>
              <w:rPr>
                <w:rFonts w:cstheme="minorHAnsi"/>
                <w:b/>
                <w:sz w:val="20"/>
                <w:szCs w:val="20"/>
              </w:rPr>
            </w:pPr>
            <w:r w:rsidRPr="00CE1B54">
              <w:rPr>
                <w:rFonts w:cstheme="minorHAnsi"/>
                <w:b/>
                <w:sz w:val="20"/>
                <w:szCs w:val="20"/>
              </w:rPr>
              <w:t xml:space="preserve">Opportunities for comment: </w:t>
            </w:r>
          </w:p>
          <w:p w14:paraId="07A88DF1" w14:textId="77777777" w:rsidR="00413B64" w:rsidRDefault="00FB5962" w:rsidP="002249BD">
            <w:pPr>
              <w:pStyle w:val="ListParagraph"/>
              <w:numPr>
                <w:ilvl w:val="0"/>
                <w:numId w:val="28"/>
              </w:numPr>
              <w:rPr>
                <w:sz w:val="20"/>
                <w:szCs w:val="20"/>
              </w:rPr>
            </w:pPr>
            <w:r w:rsidRPr="001B2662">
              <w:rPr>
                <w:sz w:val="20"/>
                <w:szCs w:val="20"/>
              </w:rPr>
              <w:t xml:space="preserve">The concerned parties have a joint responsibility to ensure that the public of the affected party is informed of, and is given the opportunity to make comments or objections on the proposed activity (Article 3.8). </w:t>
            </w:r>
          </w:p>
          <w:p w14:paraId="17D818A9" w14:textId="64D6FC47" w:rsidR="00442F01" w:rsidRPr="00A53996" w:rsidRDefault="00442F01" w:rsidP="00442F01">
            <w:pPr>
              <w:pStyle w:val="ListParagraph"/>
              <w:numPr>
                <w:ilvl w:val="0"/>
                <w:numId w:val="28"/>
              </w:numPr>
              <w:rPr>
                <w:rFonts w:cstheme="minorHAnsi"/>
                <w:sz w:val="20"/>
                <w:szCs w:val="20"/>
              </w:rPr>
            </w:pPr>
            <w:r>
              <w:rPr>
                <w:rFonts w:cstheme="minorHAnsi"/>
                <w:sz w:val="20"/>
                <w:szCs w:val="20"/>
              </w:rPr>
              <w:t>The c</w:t>
            </w:r>
            <w:r w:rsidRPr="00A53996">
              <w:rPr>
                <w:rFonts w:cstheme="minorHAnsi"/>
                <w:sz w:val="20"/>
                <w:szCs w:val="20"/>
              </w:rPr>
              <w:t>oncerned parties have a joint responsibility for the distribution of the EIA documentation and for submission of comments by the public of the affected party (Article 4.2)</w:t>
            </w:r>
            <w:r>
              <w:rPr>
                <w:rFonts w:cstheme="minorHAnsi"/>
                <w:sz w:val="20"/>
                <w:szCs w:val="20"/>
              </w:rPr>
              <w:t xml:space="preserve">. </w:t>
            </w:r>
          </w:p>
          <w:p w14:paraId="617A4FAB" w14:textId="685A109E" w:rsidR="00FB5962" w:rsidRDefault="00FB5962" w:rsidP="002249BD">
            <w:pPr>
              <w:pStyle w:val="ListParagraph"/>
              <w:numPr>
                <w:ilvl w:val="0"/>
                <w:numId w:val="28"/>
              </w:numPr>
              <w:rPr>
                <w:sz w:val="20"/>
                <w:szCs w:val="20"/>
              </w:rPr>
            </w:pPr>
            <w:r w:rsidRPr="001B2662">
              <w:rPr>
                <w:sz w:val="20"/>
                <w:szCs w:val="20"/>
              </w:rPr>
              <w:t>The party of origin should allow sufficient time so that effective consultation with the public in the affected party can be undertaken.</w:t>
            </w:r>
          </w:p>
          <w:p w14:paraId="77F1B5E5" w14:textId="0B53E407" w:rsidR="00442F01" w:rsidRDefault="00442F01" w:rsidP="00442F01">
            <w:pPr>
              <w:pStyle w:val="ListParagraph"/>
              <w:numPr>
                <w:ilvl w:val="0"/>
                <w:numId w:val="28"/>
              </w:numPr>
              <w:rPr>
                <w:rFonts w:cstheme="minorHAnsi"/>
                <w:sz w:val="20"/>
                <w:szCs w:val="20"/>
              </w:rPr>
            </w:pPr>
            <w:r w:rsidRPr="00CE1B54">
              <w:rPr>
                <w:rFonts w:cstheme="minorHAnsi"/>
                <w:sz w:val="20"/>
                <w:szCs w:val="20"/>
              </w:rPr>
              <w:t xml:space="preserve">The affected parties </w:t>
            </w:r>
            <w:r>
              <w:rPr>
                <w:rFonts w:cstheme="minorHAnsi"/>
                <w:sz w:val="20"/>
                <w:szCs w:val="20"/>
              </w:rPr>
              <w:t xml:space="preserve">should </w:t>
            </w:r>
            <w:r w:rsidRPr="00CE1B54">
              <w:rPr>
                <w:rFonts w:cstheme="minorHAnsi"/>
                <w:sz w:val="20"/>
                <w:szCs w:val="20"/>
              </w:rPr>
              <w:t>collect</w:t>
            </w:r>
            <w:r>
              <w:rPr>
                <w:rFonts w:cstheme="minorHAnsi"/>
                <w:sz w:val="20"/>
                <w:szCs w:val="20"/>
              </w:rPr>
              <w:t xml:space="preserve"> and submit to the </w:t>
            </w:r>
            <w:r w:rsidRPr="00CE1B54">
              <w:rPr>
                <w:rFonts w:cstheme="minorHAnsi"/>
                <w:sz w:val="20"/>
                <w:szCs w:val="20"/>
              </w:rPr>
              <w:t>parties of origin</w:t>
            </w:r>
            <w:r>
              <w:rPr>
                <w:rFonts w:cstheme="minorHAnsi"/>
                <w:sz w:val="20"/>
                <w:szCs w:val="20"/>
              </w:rPr>
              <w:t xml:space="preserve"> comments of the public. </w:t>
            </w:r>
            <w:r w:rsidRPr="00CE1B54">
              <w:rPr>
                <w:rFonts w:cstheme="minorHAnsi"/>
                <w:sz w:val="20"/>
                <w:szCs w:val="20"/>
              </w:rPr>
              <w:t xml:space="preserve"> </w:t>
            </w:r>
          </w:p>
          <w:p w14:paraId="1D8BA065" w14:textId="77777777" w:rsidR="00413B64" w:rsidRDefault="00413B64" w:rsidP="00CE1B54">
            <w:pPr>
              <w:rPr>
                <w:rFonts w:cstheme="minorHAnsi"/>
                <w:b/>
                <w:sz w:val="20"/>
                <w:szCs w:val="20"/>
              </w:rPr>
            </w:pPr>
          </w:p>
          <w:p w14:paraId="067F07BF" w14:textId="77777777" w:rsidR="00FB5962" w:rsidRDefault="00CE1B54" w:rsidP="00CE1B54">
            <w:pPr>
              <w:rPr>
                <w:rFonts w:cstheme="minorHAnsi"/>
                <w:b/>
                <w:sz w:val="20"/>
                <w:szCs w:val="20"/>
              </w:rPr>
            </w:pPr>
            <w:r w:rsidRPr="00CE1B54">
              <w:rPr>
                <w:rFonts w:cstheme="minorHAnsi"/>
                <w:b/>
                <w:sz w:val="20"/>
                <w:szCs w:val="20"/>
              </w:rPr>
              <w:t>Preparing the decision:</w:t>
            </w:r>
          </w:p>
          <w:p w14:paraId="5BEA9EC9" w14:textId="15A26AE2" w:rsidR="00FB5962" w:rsidRPr="00DC7D21" w:rsidRDefault="00DC7D21" w:rsidP="002249BD">
            <w:pPr>
              <w:pStyle w:val="ListParagraph"/>
              <w:numPr>
                <w:ilvl w:val="0"/>
                <w:numId w:val="28"/>
              </w:numPr>
              <w:rPr>
                <w:sz w:val="20"/>
                <w:szCs w:val="20"/>
              </w:rPr>
            </w:pPr>
            <w:r w:rsidRPr="00DC7D21">
              <w:rPr>
                <w:sz w:val="20"/>
                <w:szCs w:val="20"/>
              </w:rPr>
              <w:t>I</w:t>
            </w:r>
            <w:r w:rsidR="00FB5962" w:rsidRPr="00DC7D21">
              <w:rPr>
                <w:sz w:val="20"/>
                <w:szCs w:val="20"/>
              </w:rPr>
              <w:t xml:space="preserve">n the final decision on the proposed activity, the </w:t>
            </w:r>
            <w:r w:rsidRPr="00DC7D21">
              <w:rPr>
                <w:sz w:val="20"/>
                <w:szCs w:val="20"/>
              </w:rPr>
              <w:t>p</w:t>
            </w:r>
            <w:r w:rsidR="00FB5962" w:rsidRPr="00DC7D21">
              <w:rPr>
                <w:sz w:val="20"/>
                <w:szCs w:val="20"/>
              </w:rPr>
              <w:t xml:space="preserve">arties ensure that due account is taken of the comments on or objections to the proposed activity from the public of the affected </w:t>
            </w:r>
            <w:r w:rsidRPr="00DC7D21">
              <w:rPr>
                <w:sz w:val="20"/>
                <w:szCs w:val="20"/>
              </w:rPr>
              <w:t>p</w:t>
            </w:r>
            <w:r w:rsidR="00FB5962" w:rsidRPr="00DC7D21">
              <w:rPr>
                <w:sz w:val="20"/>
                <w:szCs w:val="20"/>
              </w:rPr>
              <w:t>arty. These include comments on the EIA documentation (Article 6.1).</w:t>
            </w:r>
          </w:p>
          <w:p w14:paraId="56A82C0C" w14:textId="2471147E" w:rsidR="00CE1B54" w:rsidRPr="002249BD" w:rsidRDefault="00CE1B54" w:rsidP="00442F01">
            <w:pPr>
              <w:pStyle w:val="ListParagraph"/>
              <w:numPr>
                <w:ilvl w:val="0"/>
                <w:numId w:val="28"/>
              </w:numPr>
              <w:rPr>
                <w:rFonts w:cstheme="minorHAnsi"/>
                <w:sz w:val="20"/>
                <w:szCs w:val="20"/>
              </w:rPr>
            </w:pPr>
            <w:r w:rsidRPr="00DC7D21">
              <w:rPr>
                <w:rFonts w:cstheme="minorHAnsi"/>
                <w:sz w:val="20"/>
                <w:szCs w:val="20"/>
              </w:rPr>
              <w:t>The parties of origin prepare the text of the decision, along with the main reasons and considerations on which the decision is based, and mak</w:t>
            </w:r>
            <w:r w:rsidR="00DC7D21" w:rsidRPr="00DC7D21">
              <w:rPr>
                <w:rFonts w:cstheme="minorHAnsi"/>
                <w:sz w:val="20"/>
                <w:szCs w:val="20"/>
              </w:rPr>
              <w:t xml:space="preserve">e this accessible to the public (in </w:t>
            </w:r>
            <w:r w:rsidR="00442F01">
              <w:rPr>
                <w:rFonts w:cstheme="minorHAnsi"/>
                <w:sz w:val="20"/>
                <w:szCs w:val="20"/>
              </w:rPr>
              <w:t>the c</w:t>
            </w:r>
            <w:r w:rsidR="00DC7D21" w:rsidRPr="00DC7D21">
              <w:rPr>
                <w:rFonts w:cstheme="minorHAnsi"/>
                <w:sz w:val="20"/>
                <w:szCs w:val="20"/>
              </w:rPr>
              <w:t>oncerned parties)</w:t>
            </w:r>
            <w:r w:rsidRPr="00DC7D21">
              <w:rPr>
                <w:rFonts w:cstheme="minorHAnsi"/>
                <w:sz w:val="20"/>
                <w:szCs w:val="20"/>
              </w:rPr>
              <w:t xml:space="preserve">.   </w:t>
            </w:r>
          </w:p>
        </w:tc>
      </w:tr>
    </w:tbl>
    <w:p w14:paraId="503A8BEC" w14:textId="26916998" w:rsidR="00327FED" w:rsidRPr="002249BD" w:rsidRDefault="00E146B1" w:rsidP="00D51BE8">
      <w:pPr>
        <w:rPr>
          <w:sz w:val="20"/>
          <w:szCs w:val="20"/>
        </w:rPr>
      </w:pPr>
      <w:r w:rsidRPr="002249BD">
        <w:rPr>
          <w:sz w:val="20"/>
          <w:szCs w:val="20"/>
        </w:rPr>
        <w:t xml:space="preserve">Based on </w:t>
      </w:r>
      <w:r w:rsidR="002249BD">
        <w:rPr>
          <w:sz w:val="20"/>
          <w:szCs w:val="20"/>
        </w:rPr>
        <w:t xml:space="preserve">the </w:t>
      </w:r>
      <w:r w:rsidRPr="002249BD">
        <w:rPr>
          <w:rFonts w:cstheme="minorHAnsi"/>
          <w:sz w:val="20"/>
          <w:szCs w:val="20"/>
        </w:rPr>
        <w:t>UNECE</w:t>
      </w:r>
      <w:r w:rsidR="002249BD">
        <w:rPr>
          <w:rFonts w:cstheme="minorHAnsi"/>
          <w:sz w:val="20"/>
          <w:szCs w:val="20"/>
        </w:rPr>
        <w:t xml:space="preserve"> (2006), </w:t>
      </w:r>
      <w:r w:rsidRPr="002249BD">
        <w:rPr>
          <w:rFonts w:cstheme="minorHAnsi"/>
          <w:sz w:val="20"/>
          <w:szCs w:val="20"/>
        </w:rPr>
        <w:t xml:space="preserve">Guidance on Public Participation in the Environmental Impact Assessment in a Transboundary Context </w:t>
      </w:r>
    </w:p>
    <w:p w14:paraId="58A7DA46" w14:textId="3634C66E" w:rsidR="00442F01" w:rsidRDefault="00442F01" w:rsidP="00442F01">
      <w:pPr>
        <w:spacing w:after="0" w:line="240" w:lineRule="auto"/>
        <w:rPr>
          <w:rFonts w:cstheme="minorHAnsi"/>
        </w:rPr>
      </w:pPr>
      <w:r w:rsidRPr="00CE1B54">
        <w:rPr>
          <w:rFonts w:cstheme="minorHAnsi"/>
        </w:rPr>
        <w:t xml:space="preserve">Public participation is considered as one of the most important elements of transboundary assessment, and it represents a shared responsibility of the concerned countries. </w:t>
      </w:r>
      <w:r w:rsidR="00A674B8">
        <w:rPr>
          <w:rFonts w:cstheme="minorHAnsi"/>
        </w:rPr>
        <w:t xml:space="preserve">The </w:t>
      </w:r>
      <w:r w:rsidRPr="00CE1B54">
        <w:rPr>
          <w:rFonts w:cstheme="minorHAnsi"/>
        </w:rPr>
        <w:t xml:space="preserve">Espoo </w:t>
      </w:r>
      <w:r w:rsidRPr="00CE1B54">
        <w:rPr>
          <w:rFonts w:cstheme="minorHAnsi"/>
        </w:rPr>
        <w:lastRenderedPageBreak/>
        <w:t xml:space="preserve">Convention requirements for the involvement of the public in transboundary EIA are presented in </w:t>
      </w:r>
      <w:r w:rsidRPr="00E146B1">
        <w:rPr>
          <w:rFonts w:cstheme="minorHAnsi"/>
          <w:color w:val="833C0B" w:themeColor="accent2" w:themeShade="80"/>
        </w:rPr>
        <w:t>Box 6-3</w:t>
      </w:r>
      <w:r>
        <w:rPr>
          <w:rFonts w:cstheme="minorHAnsi"/>
        </w:rPr>
        <w:t>.</w:t>
      </w:r>
    </w:p>
    <w:p w14:paraId="2FC6BE04" w14:textId="77777777" w:rsidR="00833162" w:rsidRDefault="00833162" w:rsidP="00D51BE8">
      <w:pPr>
        <w:rPr>
          <w:color w:val="000000" w:themeColor="text1"/>
        </w:rPr>
      </w:pPr>
    </w:p>
    <w:p w14:paraId="6137BB4E" w14:textId="58172030" w:rsidR="00CE16FD" w:rsidRPr="00B30B26" w:rsidRDefault="00CE16FD" w:rsidP="00D51BE8">
      <w:pPr>
        <w:rPr>
          <w:color w:val="000000" w:themeColor="text1"/>
        </w:rPr>
      </w:pPr>
      <w:r w:rsidRPr="00B30B26">
        <w:rPr>
          <w:color w:val="000000" w:themeColor="text1"/>
        </w:rPr>
        <w:t>BAS</w:t>
      </w:r>
      <w:r w:rsidR="00C63FF8" w:rsidRPr="00B30B26">
        <w:rPr>
          <w:color w:val="000000" w:themeColor="text1"/>
        </w:rPr>
        <w:t>I</w:t>
      </w:r>
      <w:r w:rsidRPr="00B30B26">
        <w:rPr>
          <w:color w:val="000000" w:themeColor="text1"/>
        </w:rPr>
        <w:t>C REQUIREMENTS</w:t>
      </w:r>
    </w:p>
    <w:p w14:paraId="32198850" w14:textId="15770ADC" w:rsidR="00FF43C6" w:rsidRPr="0046433E" w:rsidRDefault="00B14CCD" w:rsidP="0046433E">
      <w:pPr>
        <w:spacing w:after="0" w:line="240" w:lineRule="auto"/>
        <w:rPr>
          <w:rFonts w:cstheme="minorHAnsi"/>
          <w:color w:val="000000" w:themeColor="text1"/>
        </w:rPr>
      </w:pPr>
      <w:r w:rsidRPr="0046433E">
        <w:rPr>
          <w:color w:val="000000" w:themeColor="text1"/>
        </w:rPr>
        <w:t>Through their competent authorities, c</w:t>
      </w:r>
      <w:r w:rsidR="00606EDE" w:rsidRPr="0046433E">
        <w:rPr>
          <w:color w:val="000000" w:themeColor="text1"/>
        </w:rPr>
        <w:t xml:space="preserve">ountries participating in the transboundary environmental </w:t>
      </w:r>
      <w:r w:rsidRPr="0046433E">
        <w:rPr>
          <w:color w:val="000000" w:themeColor="text1"/>
        </w:rPr>
        <w:t xml:space="preserve">assessments need to </w:t>
      </w:r>
      <w:r w:rsidR="0046433E" w:rsidRPr="0046433E">
        <w:rPr>
          <w:color w:val="000000" w:themeColor="text1"/>
        </w:rPr>
        <w:t xml:space="preserve">jointly </w:t>
      </w:r>
      <w:r w:rsidR="00606EDE" w:rsidRPr="0046433E">
        <w:rPr>
          <w:color w:val="000000" w:themeColor="text1"/>
        </w:rPr>
        <w:t>ensure</w:t>
      </w:r>
      <w:r w:rsidR="0046433E" w:rsidRPr="0046433E">
        <w:rPr>
          <w:color w:val="000000" w:themeColor="text1"/>
        </w:rPr>
        <w:t xml:space="preserve"> </w:t>
      </w:r>
      <w:r w:rsidR="00FF43C6" w:rsidRPr="0046433E">
        <w:rPr>
          <w:color w:val="000000" w:themeColor="text1"/>
        </w:rPr>
        <w:t xml:space="preserve">that a </w:t>
      </w:r>
      <w:r w:rsidR="00606EDE" w:rsidRPr="0046433E">
        <w:rPr>
          <w:color w:val="000000" w:themeColor="text1"/>
        </w:rPr>
        <w:t xml:space="preserve">possibility for effective participation of the relevant authorities and the public </w:t>
      </w:r>
      <w:r w:rsidR="00FF43C6" w:rsidRPr="0046433E">
        <w:rPr>
          <w:color w:val="000000" w:themeColor="text1"/>
        </w:rPr>
        <w:t xml:space="preserve">is provided </w:t>
      </w:r>
      <w:r w:rsidR="00606EDE" w:rsidRPr="0046433E">
        <w:rPr>
          <w:color w:val="000000" w:themeColor="text1"/>
        </w:rPr>
        <w:t>in th</w:t>
      </w:r>
      <w:r w:rsidR="0046433E">
        <w:rPr>
          <w:color w:val="000000" w:themeColor="text1"/>
        </w:rPr>
        <w:t xml:space="preserve">e </w:t>
      </w:r>
      <w:r w:rsidR="00606EDE" w:rsidRPr="0046433E">
        <w:rPr>
          <w:color w:val="000000" w:themeColor="text1"/>
        </w:rPr>
        <w:t>procedure</w:t>
      </w:r>
      <w:r w:rsidRPr="0046433E">
        <w:rPr>
          <w:color w:val="000000" w:themeColor="text1"/>
        </w:rPr>
        <w:t xml:space="preserve">. </w:t>
      </w:r>
      <w:r w:rsidR="00FF43C6" w:rsidRPr="0046433E">
        <w:rPr>
          <w:rFonts w:cstheme="minorHAnsi"/>
          <w:color w:val="000000" w:themeColor="text1"/>
        </w:rPr>
        <w:t>Important questions to be agreed upon in order to ensure effective consultations include</w:t>
      </w:r>
      <w:r w:rsidR="0046433E" w:rsidRPr="0046433E">
        <w:rPr>
          <w:rFonts w:cstheme="minorHAnsi"/>
          <w:color w:val="000000" w:themeColor="text1"/>
        </w:rPr>
        <w:t xml:space="preserve"> (but are not limited to)</w:t>
      </w:r>
      <w:r w:rsidR="00FF43C6" w:rsidRPr="0046433E">
        <w:rPr>
          <w:rFonts w:cstheme="minorHAnsi"/>
          <w:color w:val="000000" w:themeColor="text1"/>
        </w:rPr>
        <w:t xml:space="preserve">: distribution of tasks and responsibilities among concerned countries; ways and means to disseminate information and ensure its accessibility; what are reasonable timeframes to allow for submission of comments; how </w:t>
      </w:r>
      <w:r w:rsidR="00FF43C6" w:rsidRPr="0046433E">
        <w:rPr>
          <w:color w:val="000000" w:themeColor="text1"/>
        </w:rPr>
        <w:t xml:space="preserve">to inform the public and authorities of the affected country; </w:t>
      </w:r>
      <w:r w:rsidR="00B30B26">
        <w:rPr>
          <w:color w:val="000000" w:themeColor="text1"/>
        </w:rPr>
        <w:t xml:space="preserve">and </w:t>
      </w:r>
      <w:r w:rsidR="00FF43C6" w:rsidRPr="0046433E">
        <w:rPr>
          <w:rFonts w:cstheme="minorHAnsi"/>
          <w:color w:val="000000" w:themeColor="text1"/>
        </w:rPr>
        <w:t xml:space="preserve">what are the appropriate means and timeframes </w:t>
      </w:r>
      <w:r w:rsidR="00692579">
        <w:rPr>
          <w:rFonts w:cstheme="minorHAnsi"/>
          <w:color w:val="000000" w:themeColor="text1"/>
        </w:rPr>
        <w:t xml:space="preserve">to provide </w:t>
      </w:r>
      <w:r w:rsidR="00FF43C6" w:rsidRPr="0046433E">
        <w:rPr>
          <w:rFonts w:cstheme="minorHAnsi"/>
          <w:color w:val="000000" w:themeColor="text1"/>
        </w:rPr>
        <w:t xml:space="preserve">for public participation. </w:t>
      </w:r>
    </w:p>
    <w:p w14:paraId="188F2AE6" w14:textId="77777777" w:rsidR="0046433E" w:rsidRPr="0046433E" w:rsidRDefault="0046433E" w:rsidP="0046433E">
      <w:pPr>
        <w:spacing w:after="0" w:line="240" w:lineRule="auto"/>
        <w:rPr>
          <w:color w:val="000000" w:themeColor="text1"/>
        </w:rPr>
      </w:pPr>
    </w:p>
    <w:p w14:paraId="476D781F" w14:textId="32482291" w:rsidR="001111DA" w:rsidRPr="0046433E" w:rsidRDefault="00B14CCD" w:rsidP="0046433E">
      <w:pPr>
        <w:spacing w:after="0" w:line="240" w:lineRule="auto"/>
        <w:rPr>
          <w:color w:val="000000" w:themeColor="text1"/>
        </w:rPr>
      </w:pPr>
      <w:r w:rsidRPr="0046433E">
        <w:rPr>
          <w:color w:val="000000" w:themeColor="text1"/>
        </w:rPr>
        <w:t>T</w:t>
      </w:r>
      <w:r w:rsidR="001111DA" w:rsidRPr="0046433E">
        <w:rPr>
          <w:color w:val="000000" w:themeColor="text1"/>
        </w:rPr>
        <w:t xml:space="preserve">he </w:t>
      </w:r>
      <w:r w:rsidRPr="0046433E">
        <w:rPr>
          <w:color w:val="000000" w:themeColor="text1"/>
        </w:rPr>
        <w:t>c</w:t>
      </w:r>
      <w:r w:rsidR="001111DA" w:rsidRPr="0046433E">
        <w:rPr>
          <w:color w:val="000000" w:themeColor="text1"/>
        </w:rPr>
        <w:t xml:space="preserve">oncerned </w:t>
      </w:r>
      <w:r w:rsidRPr="0046433E">
        <w:rPr>
          <w:color w:val="000000" w:themeColor="text1"/>
        </w:rPr>
        <w:t xml:space="preserve">countries should </w:t>
      </w:r>
      <w:r w:rsidR="001111DA" w:rsidRPr="0046433E">
        <w:rPr>
          <w:color w:val="000000" w:themeColor="text1"/>
        </w:rPr>
        <w:t xml:space="preserve">ensure that the public of the </w:t>
      </w:r>
      <w:r w:rsidRPr="0046433E">
        <w:rPr>
          <w:color w:val="000000" w:themeColor="text1"/>
        </w:rPr>
        <w:t xml:space="preserve">country </w:t>
      </w:r>
      <w:r w:rsidR="001111DA" w:rsidRPr="0046433E">
        <w:rPr>
          <w:color w:val="000000" w:themeColor="text1"/>
        </w:rPr>
        <w:t xml:space="preserve">of origin and </w:t>
      </w:r>
      <w:r w:rsidRPr="0046433E">
        <w:rPr>
          <w:color w:val="000000" w:themeColor="text1"/>
        </w:rPr>
        <w:t xml:space="preserve">of </w:t>
      </w:r>
      <w:r w:rsidR="001111DA" w:rsidRPr="0046433E">
        <w:rPr>
          <w:color w:val="000000" w:themeColor="text1"/>
        </w:rPr>
        <w:t xml:space="preserve">the affected </w:t>
      </w:r>
      <w:r w:rsidRPr="0046433E">
        <w:rPr>
          <w:color w:val="000000" w:themeColor="text1"/>
        </w:rPr>
        <w:t xml:space="preserve">country </w:t>
      </w:r>
      <w:r w:rsidR="001111DA" w:rsidRPr="0046433E">
        <w:rPr>
          <w:color w:val="000000" w:themeColor="text1"/>
        </w:rPr>
        <w:t>is informed and provided with possibilities of commenting on or objecting to the proposed project</w:t>
      </w:r>
      <w:r w:rsidR="00692579">
        <w:rPr>
          <w:color w:val="000000" w:themeColor="text1"/>
        </w:rPr>
        <w:t>, plan or programme</w:t>
      </w:r>
      <w:r w:rsidR="001111DA" w:rsidRPr="0046433E">
        <w:rPr>
          <w:color w:val="000000" w:themeColor="text1"/>
        </w:rPr>
        <w:t>.</w:t>
      </w:r>
      <w:r w:rsidRPr="0046433E">
        <w:rPr>
          <w:color w:val="000000" w:themeColor="text1"/>
        </w:rPr>
        <w:t xml:space="preserve"> </w:t>
      </w:r>
      <w:r w:rsidR="001111DA" w:rsidRPr="0046433E">
        <w:rPr>
          <w:color w:val="000000" w:themeColor="text1"/>
        </w:rPr>
        <w:t xml:space="preserve">The concerned </w:t>
      </w:r>
      <w:r w:rsidRPr="0046433E">
        <w:rPr>
          <w:color w:val="000000" w:themeColor="text1"/>
        </w:rPr>
        <w:t xml:space="preserve">countries </w:t>
      </w:r>
      <w:r w:rsidR="001111DA" w:rsidRPr="0046433E">
        <w:rPr>
          <w:color w:val="000000" w:themeColor="text1"/>
        </w:rPr>
        <w:t>are responsible for distributing the EIA</w:t>
      </w:r>
      <w:r w:rsidRPr="0046433E">
        <w:rPr>
          <w:color w:val="000000" w:themeColor="text1"/>
        </w:rPr>
        <w:t>/ SEA</w:t>
      </w:r>
      <w:r w:rsidR="001111DA" w:rsidRPr="0046433E">
        <w:rPr>
          <w:color w:val="000000" w:themeColor="text1"/>
        </w:rPr>
        <w:t xml:space="preserve"> documentation to the authorities and public in areas likely to be affected and for submitting any comments to the competent authority in the </w:t>
      </w:r>
      <w:r w:rsidRPr="0046433E">
        <w:rPr>
          <w:color w:val="000000" w:themeColor="text1"/>
        </w:rPr>
        <w:t xml:space="preserve">country </w:t>
      </w:r>
      <w:r w:rsidR="001111DA" w:rsidRPr="0046433E">
        <w:rPr>
          <w:color w:val="000000" w:themeColor="text1"/>
        </w:rPr>
        <w:t>of origin. The</w:t>
      </w:r>
      <w:r w:rsidRPr="0046433E">
        <w:rPr>
          <w:color w:val="000000" w:themeColor="text1"/>
        </w:rPr>
        <w:t xml:space="preserve"> comments </w:t>
      </w:r>
      <w:r w:rsidR="001111DA" w:rsidRPr="0046433E">
        <w:rPr>
          <w:color w:val="000000" w:themeColor="text1"/>
        </w:rPr>
        <w:t xml:space="preserve">should </w:t>
      </w:r>
      <w:r w:rsidRPr="0046433E">
        <w:rPr>
          <w:color w:val="000000" w:themeColor="text1"/>
        </w:rPr>
        <w:t xml:space="preserve">be submitted </w:t>
      </w:r>
      <w:r w:rsidR="001111DA" w:rsidRPr="0046433E">
        <w:rPr>
          <w:color w:val="000000" w:themeColor="text1"/>
        </w:rPr>
        <w:t>within a reasonable timeframe and before the final decision is made</w:t>
      </w:r>
      <w:r w:rsidRPr="0046433E">
        <w:rPr>
          <w:color w:val="000000" w:themeColor="text1"/>
        </w:rPr>
        <w:t xml:space="preserve">. </w:t>
      </w:r>
    </w:p>
    <w:p w14:paraId="4DA60A70" w14:textId="77777777" w:rsidR="0046433E" w:rsidRDefault="0046433E" w:rsidP="0046433E">
      <w:pPr>
        <w:spacing w:after="0" w:line="240" w:lineRule="auto"/>
        <w:rPr>
          <w:color w:val="000000" w:themeColor="text1"/>
        </w:rPr>
      </w:pPr>
    </w:p>
    <w:p w14:paraId="75EB47F8" w14:textId="77777777" w:rsidR="00356CFD" w:rsidRPr="0046433E" w:rsidRDefault="00E96F54" w:rsidP="0046433E">
      <w:pPr>
        <w:spacing w:after="0" w:line="240" w:lineRule="auto"/>
        <w:rPr>
          <w:color w:val="000000" w:themeColor="text1"/>
        </w:rPr>
      </w:pPr>
      <w:r w:rsidRPr="0046433E">
        <w:rPr>
          <w:color w:val="000000" w:themeColor="text1"/>
        </w:rPr>
        <w:t xml:space="preserve">Concerned </w:t>
      </w:r>
      <w:r w:rsidR="00606EDE" w:rsidRPr="0046433E">
        <w:rPr>
          <w:color w:val="000000" w:themeColor="text1"/>
        </w:rPr>
        <w:t xml:space="preserve">countries should ensure that the public in the areas likely to be affected is informed in a timely, adequate and effective manner, </w:t>
      </w:r>
      <w:r w:rsidRPr="0046433E">
        <w:rPr>
          <w:color w:val="000000" w:themeColor="text1"/>
        </w:rPr>
        <w:t xml:space="preserve">has </w:t>
      </w:r>
      <w:r w:rsidR="00606EDE" w:rsidRPr="0046433E">
        <w:rPr>
          <w:color w:val="000000" w:themeColor="text1"/>
        </w:rPr>
        <w:t xml:space="preserve">access to the assessment documentation and </w:t>
      </w:r>
      <w:r w:rsidRPr="0046433E">
        <w:rPr>
          <w:color w:val="000000" w:themeColor="text1"/>
        </w:rPr>
        <w:t xml:space="preserve">a </w:t>
      </w:r>
      <w:r w:rsidR="00606EDE" w:rsidRPr="0046433E">
        <w:rPr>
          <w:color w:val="000000" w:themeColor="text1"/>
        </w:rPr>
        <w:t>possibility to provide</w:t>
      </w:r>
      <w:r w:rsidR="00FF43C6" w:rsidRPr="0046433E">
        <w:rPr>
          <w:color w:val="000000" w:themeColor="text1"/>
        </w:rPr>
        <w:t xml:space="preserve"> comments</w:t>
      </w:r>
      <w:r w:rsidR="00606EDE" w:rsidRPr="0046433E">
        <w:rPr>
          <w:color w:val="000000" w:themeColor="text1"/>
        </w:rPr>
        <w:t>, in writing or during public hearings</w:t>
      </w:r>
      <w:r w:rsidRPr="0046433E">
        <w:rPr>
          <w:color w:val="000000" w:themeColor="text1"/>
        </w:rPr>
        <w:t>.</w:t>
      </w:r>
      <w:r w:rsidR="00FF43C6" w:rsidRPr="0046433E">
        <w:rPr>
          <w:color w:val="000000" w:themeColor="text1"/>
        </w:rPr>
        <w:t xml:space="preserve"> The following requirements should be met to guarantee effective public hearings</w:t>
      </w:r>
      <w:r w:rsidR="0046433E">
        <w:rPr>
          <w:color w:val="000000" w:themeColor="text1"/>
        </w:rPr>
        <w:t xml:space="preserve"> (which are usually </w:t>
      </w:r>
      <w:r w:rsidR="0046433E" w:rsidRPr="0046433E">
        <w:rPr>
          <w:color w:val="000000" w:themeColor="text1"/>
        </w:rPr>
        <w:t>the main form of public consultation</w:t>
      </w:r>
      <w:r w:rsidR="0046433E">
        <w:rPr>
          <w:color w:val="000000" w:themeColor="text1"/>
        </w:rPr>
        <w:t>s)</w:t>
      </w:r>
      <w:r w:rsidR="00FF43C6" w:rsidRPr="0046433E">
        <w:rPr>
          <w:color w:val="000000" w:themeColor="text1"/>
        </w:rPr>
        <w:t xml:space="preserve">: </w:t>
      </w:r>
      <w:r w:rsidR="00356CFD" w:rsidRPr="0046433E">
        <w:rPr>
          <w:color w:val="000000" w:themeColor="text1"/>
        </w:rPr>
        <w:t xml:space="preserve"> </w:t>
      </w:r>
    </w:p>
    <w:p w14:paraId="5E34FAC4" w14:textId="77777777" w:rsidR="0046433E" w:rsidRPr="0046433E" w:rsidRDefault="0046433E" w:rsidP="0046433E">
      <w:pPr>
        <w:spacing w:after="0" w:line="240" w:lineRule="auto"/>
        <w:rPr>
          <w:color w:val="000000" w:themeColor="text1"/>
        </w:rPr>
      </w:pPr>
    </w:p>
    <w:p w14:paraId="31850CD7" w14:textId="77777777" w:rsidR="00356CFD" w:rsidRPr="0046433E" w:rsidRDefault="00FF43C6" w:rsidP="005028DC">
      <w:pPr>
        <w:pStyle w:val="ListParagraph"/>
        <w:numPr>
          <w:ilvl w:val="0"/>
          <w:numId w:val="21"/>
        </w:numPr>
        <w:spacing w:after="0" w:line="240" w:lineRule="auto"/>
        <w:rPr>
          <w:color w:val="000000" w:themeColor="text1"/>
        </w:rPr>
      </w:pPr>
      <w:r w:rsidRPr="0046433E">
        <w:rPr>
          <w:color w:val="000000" w:themeColor="text1"/>
        </w:rPr>
        <w:t xml:space="preserve">An </w:t>
      </w:r>
      <w:r w:rsidR="00356CFD" w:rsidRPr="0046433E">
        <w:rPr>
          <w:color w:val="000000" w:themeColor="text1"/>
        </w:rPr>
        <w:t xml:space="preserve">agreement </w:t>
      </w:r>
      <w:r w:rsidRPr="0046433E">
        <w:rPr>
          <w:color w:val="000000" w:themeColor="text1"/>
        </w:rPr>
        <w:t xml:space="preserve">between concerned countries is needed </w:t>
      </w:r>
      <w:r w:rsidR="00356CFD" w:rsidRPr="0046433E">
        <w:rPr>
          <w:color w:val="000000" w:themeColor="text1"/>
        </w:rPr>
        <w:t>on whether public hearing</w:t>
      </w:r>
      <w:r w:rsidRPr="0046433E">
        <w:rPr>
          <w:color w:val="000000" w:themeColor="text1"/>
        </w:rPr>
        <w:t>s</w:t>
      </w:r>
      <w:r w:rsidR="00356CFD" w:rsidRPr="0046433E">
        <w:rPr>
          <w:color w:val="000000" w:themeColor="text1"/>
        </w:rPr>
        <w:t xml:space="preserve"> should be held in the </w:t>
      </w:r>
      <w:r w:rsidRPr="0046433E">
        <w:rPr>
          <w:color w:val="000000" w:themeColor="text1"/>
        </w:rPr>
        <w:t xml:space="preserve">country of origin, in the affected country or in </w:t>
      </w:r>
      <w:r w:rsidR="00356CFD" w:rsidRPr="0046433E">
        <w:rPr>
          <w:color w:val="000000" w:themeColor="text1"/>
        </w:rPr>
        <w:t xml:space="preserve">both. </w:t>
      </w:r>
      <w:r w:rsidRPr="0046433E">
        <w:rPr>
          <w:color w:val="000000" w:themeColor="text1"/>
        </w:rPr>
        <w:t>The country of origin can hold public hearings on the territory of the affected country o</w:t>
      </w:r>
      <w:r w:rsidR="00356CFD" w:rsidRPr="0046433E">
        <w:rPr>
          <w:color w:val="000000" w:themeColor="text1"/>
        </w:rPr>
        <w:t>n the basis of bilateral and multilateral agreements or ad hoc arrangements</w:t>
      </w:r>
      <w:r w:rsidRPr="0046433E">
        <w:rPr>
          <w:color w:val="000000" w:themeColor="text1"/>
        </w:rPr>
        <w:t xml:space="preserve">. </w:t>
      </w:r>
      <w:r w:rsidR="00356CFD" w:rsidRPr="0046433E">
        <w:rPr>
          <w:color w:val="000000" w:themeColor="text1"/>
        </w:rPr>
        <w:t xml:space="preserve">Another option </w:t>
      </w:r>
      <w:r w:rsidRPr="0046433E">
        <w:rPr>
          <w:color w:val="000000" w:themeColor="text1"/>
        </w:rPr>
        <w:t xml:space="preserve">is to </w:t>
      </w:r>
      <w:r w:rsidR="00356CFD" w:rsidRPr="0046433E">
        <w:rPr>
          <w:color w:val="000000" w:themeColor="text1"/>
        </w:rPr>
        <w:t>organise public hearing</w:t>
      </w:r>
      <w:r w:rsidRPr="0046433E">
        <w:rPr>
          <w:color w:val="000000" w:themeColor="text1"/>
        </w:rPr>
        <w:t>s</w:t>
      </w:r>
      <w:r w:rsidR="00356CFD" w:rsidRPr="0046433E">
        <w:rPr>
          <w:color w:val="000000" w:themeColor="text1"/>
        </w:rPr>
        <w:t xml:space="preserve"> in the </w:t>
      </w:r>
      <w:r w:rsidRPr="0046433E">
        <w:rPr>
          <w:color w:val="000000" w:themeColor="text1"/>
        </w:rPr>
        <w:t xml:space="preserve">country </w:t>
      </w:r>
      <w:r w:rsidR="00356CFD" w:rsidRPr="0046433E">
        <w:rPr>
          <w:color w:val="000000" w:themeColor="text1"/>
        </w:rPr>
        <w:t xml:space="preserve">of origin.  </w:t>
      </w:r>
    </w:p>
    <w:p w14:paraId="584A7390" w14:textId="77777777" w:rsidR="00356CFD" w:rsidRPr="0046433E" w:rsidRDefault="00356CFD" w:rsidP="005028DC">
      <w:pPr>
        <w:pStyle w:val="ListParagraph"/>
        <w:numPr>
          <w:ilvl w:val="0"/>
          <w:numId w:val="21"/>
        </w:numPr>
        <w:spacing w:after="0" w:line="240" w:lineRule="auto"/>
        <w:rPr>
          <w:color w:val="000000" w:themeColor="text1"/>
        </w:rPr>
      </w:pPr>
      <w:r w:rsidRPr="0046433E">
        <w:rPr>
          <w:color w:val="000000" w:themeColor="text1"/>
        </w:rPr>
        <w:t>Translation</w:t>
      </w:r>
      <w:r w:rsidR="0046433E">
        <w:rPr>
          <w:color w:val="000000" w:themeColor="text1"/>
        </w:rPr>
        <w:t xml:space="preserve">/ </w:t>
      </w:r>
      <w:r w:rsidRPr="0046433E">
        <w:rPr>
          <w:color w:val="000000" w:themeColor="text1"/>
        </w:rPr>
        <w:t xml:space="preserve">interpretation </w:t>
      </w:r>
      <w:r w:rsidR="00FF43C6" w:rsidRPr="0046433E">
        <w:rPr>
          <w:color w:val="000000" w:themeColor="text1"/>
        </w:rPr>
        <w:t>need</w:t>
      </w:r>
      <w:r w:rsidR="0046433E">
        <w:rPr>
          <w:color w:val="000000" w:themeColor="text1"/>
        </w:rPr>
        <w:t>s</w:t>
      </w:r>
      <w:r w:rsidR="00FF43C6" w:rsidRPr="0046433E">
        <w:rPr>
          <w:color w:val="000000" w:themeColor="text1"/>
        </w:rPr>
        <w:t xml:space="preserve"> </w:t>
      </w:r>
      <w:r w:rsidRPr="0046433E">
        <w:rPr>
          <w:color w:val="000000" w:themeColor="text1"/>
        </w:rPr>
        <w:t xml:space="preserve">to be </w:t>
      </w:r>
      <w:r w:rsidR="0046433E">
        <w:rPr>
          <w:color w:val="000000" w:themeColor="text1"/>
        </w:rPr>
        <w:t xml:space="preserve">provided </w:t>
      </w:r>
      <w:r w:rsidR="00FF43C6" w:rsidRPr="0046433E">
        <w:rPr>
          <w:color w:val="000000" w:themeColor="text1"/>
        </w:rPr>
        <w:t xml:space="preserve">whenever </w:t>
      </w:r>
      <w:r w:rsidRPr="0046433E">
        <w:rPr>
          <w:color w:val="000000" w:themeColor="text1"/>
        </w:rPr>
        <w:t xml:space="preserve">necessary.  </w:t>
      </w:r>
    </w:p>
    <w:p w14:paraId="3B4044E3" w14:textId="1462EE4B" w:rsidR="00356CFD" w:rsidRPr="0046433E" w:rsidRDefault="00356CFD" w:rsidP="005028DC">
      <w:pPr>
        <w:pStyle w:val="ListParagraph"/>
        <w:numPr>
          <w:ilvl w:val="0"/>
          <w:numId w:val="21"/>
        </w:numPr>
        <w:spacing w:after="0" w:line="240" w:lineRule="auto"/>
        <w:rPr>
          <w:color w:val="000000" w:themeColor="text1"/>
        </w:rPr>
      </w:pPr>
      <w:r w:rsidRPr="0046433E">
        <w:rPr>
          <w:color w:val="000000" w:themeColor="text1"/>
        </w:rPr>
        <w:t>The relevant authorities,</w:t>
      </w:r>
      <w:r w:rsidR="00FF43C6" w:rsidRPr="0046433E">
        <w:rPr>
          <w:color w:val="000000" w:themeColor="text1"/>
        </w:rPr>
        <w:t xml:space="preserve"> project proponents</w:t>
      </w:r>
      <w:r w:rsidRPr="0046433E">
        <w:rPr>
          <w:color w:val="000000" w:themeColor="text1"/>
        </w:rPr>
        <w:t xml:space="preserve"> </w:t>
      </w:r>
      <w:r w:rsidR="0046433E" w:rsidRPr="0046433E">
        <w:rPr>
          <w:color w:val="000000" w:themeColor="text1"/>
        </w:rPr>
        <w:t xml:space="preserve">or plan/ programme </w:t>
      </w:r>
      <w:r w:rsidRPr="0046433E">
        <w:rPr>
          <w:color w:val="000000" w:themeColor="text1"/>
        </w:rPr>
        <w:t>developer</w:t>
      </w:r>
      <w:r w:rsidR="0046433E" w:rsidRPr="0046433E">
        <w:rPr>
          <w:color w:val="000000" w:themeColor="text1"/>
        </w:rPr>
        <w:t xml:space="preserve">s and </w:t>
      </w:r>
      <w:r w:rsidRPr="0046433E">
        <w:rPr>
          <w:color w:val="000000" w:themeColor="text1"/>
        </w:rPr>
        <w:t>team</w:t>
      </w:r>
      <w:r w:rsidR="0046433E" w:rsidRPr="0046433E">
        <w:rPr>
          <w:color w:val="000000" w:themeColor="text1"/>
        </w:rPr>
        <w:t xml:space="preserve">s tasked with preparation of environmental assessment documentation </w:t>
      </w:r>
      <w:r w:rsidRPr="0046433E">
        <w:rPr>
          <w:color w:val="000000" w:themeColor="text1"/>
        </w:rPr>
        <w:t>should all be present.</w:t>
      </w:r>
    </w:p>
    <w:p w14:paraId="2B9F8FAF" w14:textId="77777777" w:rsidR="0046433E" w:rsidRDefault="0046433E" w:rsidP="0046433E">
      <w:pPr>
        <w:spacing w:after="0" w:line="240" w:lineRule="auto"/>
        <w:rPr>
          <w:color w:val="000000" w:themeColor="text1"/>
        </w:rPr>
      </w:pPr>
    </w:p>
    <w:p w14:paraId="2357F089" w14:textId="77777777" w:rsidR="00E96F54" w:rsidRPr="0046433E" w:rsidRDefault="00E96F54" w:rsidP="0046433E">
      <w:pPr>
        <w:spacing w:after="0" w:line="240" w:lineRule="auto"/>
        <w:rPr>
          <w:color w:val="000000" w:themeColor="text1"/>
        </w:rPr>
      </w:pPr>
      <w:r w:rsidRPr="0046433E">
        <w:rPr>
          <w:color w:val="000000" w:themeColor="text1"/>
        </w:rPr>
        <w:t>Outcomes of the consultations, including oral and written comments and agreements reached, should be noted properly for the purpose of taking them into account in the final decision-making by the country of origin.</w:t>
      </w:r>
    </w:p>
    <w:p w14:paraId="7FB387F0" w14:textId="77777777" w:rsidR="00DA1DBC" w:rsidRDefault="00DA1DBC" w:rsidP="0046433E">
      <w:pPr>
        <w:spacing w:after="0" w:line="240" w:lineRule="auto"/>
        <w:rPr>
          <w:color w:val="000000" w:themeColor="text1"/>
        </w:rPr>
      </w:pPr>
    </w:p>
    <w:p w14:paraId="25731007" w14:textId="77777777" w:rsidR="00606EDE" w:rsidRDefault="00606EDE" w:rsidP="0046433E">
      <w:pPr>
        <w:spacing w:after="0" w:line="240" w:lineRule="auto"/>
        <w:rPr>
          <w:color w:val="000000" w:themeColor="text1"/>
        </w:rPr>
      </w:pPr>
      <w:r w:rsidRPr="0046433E">
        <w:rPr>
          <w:color w:val="000000" w:themeColor="text1"/>
        </w:rPr>
        <w:t xml:space="preserve">The country of origin ensures that </w:t>
      </w:r>
      <w:r w:rsidR="00DA1DBC">
        <w:rPr>
          <w:color w:val="000000" w:themeColor="text1"/>
        </w:rPr>
        <w:t xml:space="preserve">comments received </w:t>
      </w:r>
      <w:r w:rsidRPr="0046433E">
        <w:rPr>
          <w:color w:val="000000" w:themeColor="text1"/>
        </w:rPr>
        <w:t>from the public and the outcomes of the consultations among the authorities</w:t>
      </w:r>
      <w:r w:rsidR="00DA1DBC">
        <w:rPr>
          <w:color w:val="000000" w:themeColor="text1"/>
        </w:rPr>
        <w:t xml:space="preserve"> are duly taken into account </w:t>
      </w:r>
      <w:r w:rsidR="00DA1DBC" w:rsidRPr="0046433E">
        <w:rPr>
          <w:color w:val="000000" w:themeColor="text1"/>
        </w:rPr>
        <w:t>in the final decision on the proposed</w:t>
      </w:r>
      <w:r w:rsidR="00DA1DBC">
        <w:rPr>
          <w:color w:val="000000" w:themeColor="text1"/>
        </w:rPr>
        <w:t xml:space="preserve"> project, plan or programme. </w:t>
      </w:r>
    </w:p>
    <w:p w14:paraId="4A3AB08A" w14:textId="77777777" w:rsidR="00DA1DBC" w:rsidRPr="0046433E" w:rsidRDefault="00DA1DBC" w:rsidP="0046433E">
      <w:pPr>
        <w:spacing w:after="0" w:line="240" w:lineRule="auto"/>
        <w:rPr>
          <w:color w:val="000000" w:themeColor="text1"/>
        </w:rPr>
      </w:pPr>
    </w:p>
    <w:p w14:paraId="4893695C" w14:textId="77777777" w:rsidR="00E96F54" w:rsidRDefault="00E96F54" w:rsidP="0046433E">
      <w:pPr>
        <w:spacing w:after="0" w:line="240" w:lineRule="auto"/>
        <w:rPr>
          <w:color w:val="000000" w:themeColor="text1"/>
        </w:rPr>
      </w:pPr>
      <w:r w:rsidRPr="0046433E">
        <w:rPr>
          <w:color w:val="000000" w:themeColor="text1"/>
        </w:rPr>
        <w:t xml:space="preserve">GOOD PRACTICE RECOMMENDATIONS </w:t>
      </w:r>
    </w:p>
    <w:p w14:paraId="5A3DD659" w14:textId="77777777" w:rsidR="00DA1DBC" w:rsidRDefault="00DA1DBC" w:rsidP="0046433E">
      <w:pPr>
        <w:spacing w:after="0" w:line="240" w:lineRule="auto"/>
        <w:rPr>
          <w:color w:val="000000" w:themeColor="text1"/>
        </w:rPr>
      </w:pPr>
    </w:p>
    <w:p w14:paraId="1154EBB4" w14:textId="77777777" w:rsidR="00DA1DBC" w:rsidRDefault="00DA1DBC" w:rsidP="005028DC">
      <w:pPr>
        <w:pStyle w:val="ListParagraph"/>
        <w:numPr>
          <w:ilvl w:val="0"/>
          <w:numId w:val="22"/>
        </w:numPr>
        <w:spacing w:after="0" w:line="240" w:lineRule="auto"/>
        <w:rPr>
          <w:color w:val="000000" w:themeColor="text1"/>
        </w:rPr>
      </w:pPr>
      <w:r>
        <w:rPr>
          <w:color w:val="000000" w:themeColor="text1"/>
        </w:rPr>
        <w:t>T</w:t>
      </w:r>
      <w:r w:rsidRPr="00DA1DBC">
        <w:rPr>
          <w:color w:val="000000" w:themeColor="text1"/>
        </w:rPr>
        <w:t xml:space="preserve">imely and effective transboundary consultations </w:t>
      </w:r>
      <w:r>
        <w:rPr>
          <w:color w:val="000000" w:themeColor="text1"/>
        </w:rPr>
        <w:t xml:space="preserve">should </w:t>
      </w:r>
      <w:r w:rsidRPr="00DA1DBC">
        <w:rPr>
          <w:color w:val="000000" w:themeColor="text1"/>
        </w:rPr>
        <w:t xml:space="preserve">preferably </w:t>
      </w:r>
      <w:r>
        <w:rPr>
          <w:color w:val="000000" w:themeColor="text1"/>
        </w:rPr>
        <w:t xml:space="preserve">be supported </w:t>
      </w:r>
      <w:r w:rsidRPr="00DA1DBC">
        <w:rPr>
          <w:color w:val="000000" w:themeColor="text1"/>
        </w:rPr>
        <w:t>through bilateral or multilateral agreements, potentially also at sub-regional level</w:t>
      </w:r>
      <w:r>
        <w:rPr>
          <w:color w:val="000000" w:themeColor="text1"/>
        </w:rPr>
        <w:t>.</w:t>
      </w:r>
    </w:p>
    <w:p w14:paraId="01E303EE" w14:textId="77777777" w:rsidR="0063081D" w:rsidRDefault="0063081D" w:rsidP="0063081D">
      <w:pPr>
        <w:spacing w:after="0" w:line="240" w:lineRule="auto"/>
        <w:rPr>
          <w:color w:val="000000" w:themeColor="text1"/>
        </w:rPr>
      </w:pPr>
    </w:p>
    <w:p w14:paraId="7D1A6307" w14:textId="77777777" w:rsidR="0063081D" w:rsidRDefault="0063081D" w:rsidP="005028DC">
      <w:pPr>
        <w:pStyle w:val="ListParagraph"/>
        <w:numPr>
          <w:ilvl w:val="0"/>
          <w:numId w:val="22"/>
        </w:numPr>
        <w:spacing w:after="0" w:line="240" w:lineRule="auto"/>
        <w:rPr>
          <w:color w:val="000000" w:themeColor="text1"/>
        </w:rPr>
      </w:pPr>
      <w:r>
        <w:rPr>
          <w:color w:val="000000" w:themeColor="text1"/>
        </w:rPr>
        <w:t xml:space="preserve">Prior knowledge of </w:t>
      </w:r>
      <w:r w:rsidRPr="00DA1DBC">
        <w:rPr>
          <w:color w:val="000000" w:themeColor="text1"/>
        </w:rPr>
        <w:t xml:space="preserve">different consultation procedures in </w:t>
      </w:r>
      <w:r>
        <w:rPr>
          <w:color w:val="000000" w:themeColor="text1"/>
        </w:rPr>
        <w:t xml:space="preserve">the concerned countries may </w:t>
      </w:r>
      <w:r w:rsidRPr="00DA1DBC">
        <w:rPr>
          <w:color w:val="000000" w:themeColor="text1"/>
        </w:rPr>
        <w:t>support the design of an effective consultation program</w:t>
      </w:r>
      <w:r>
        <w:rPr>
          <w:color w:val="000000" w:themeColor="text1"/>
        </w:rPr>
        <w:t xml:space="preserve">. </w:t>
      </w:r>
    </w:p>
    <w:p w14:paraId="7855EBC4" w14:textId="77777777" w:rsidR="0063081D" w:rsidRPr="00DA1DBC" w:rsidRDefault="0063081D" w:rsidP="0063081D">
      <w:pPr>
        <w:pStyle w:val="ListParagraph"/>
        <w:spacing w:after="0" w:line="240" w:lineRule="auto"/>
        <w:rPr>
          <w:color w:val="000000" w:themeColor="text1"/>
        </w:rPr>
      </w:pPr>
    </w:p>
    <w:p w14:paraId="1342C873" w14:textId="4D35C9CD" w:rsidR="0063081D" w:rsidRDefault="0063081D" w:rsidP="005028DC">
      <w:pPr>
        <w:pStyle w:val="ListParagraph"/>
        <w:numPr>
          <w:ilvl w:val="0"/>
          <w:numId w:val="22"/>
        </w:numPr>
        <w:spacing w:after="0" w:line="240" w:lineRule="auto"/>
      </w:pPr>
      <w:r>
        <w:t xml:space="preserve">The country of origin should initiate early consultations with the affected country to allow enough time to the latter to identify effective tools </w:t>
      </w:r>
      <w:r w:rsidR="005C1F41">
        <w:t xml:space="preserve">(including media) </w:t>
      </w:r>
      <w:r>
        <w:t>to engage the public and appropriate format of information to be provided.</w:t>
      </w:r>
    </w:p>
    <w:p w14:paraId="435A1392" w14:textId="77777777" w:rsidR="005C1F41" w:rsidRDefault="005C1F41" w:rsidP="005C1F41">
      <w:pPr>
        <w:spacing w:after="0" w:line="240" w:lineRule="auto"/>
      </w:pPr>
    </w:p>
    <w:p w14:paraId="532C98B1" w14:textId="13169DD2" w:rsidR="00DA1DBC" w:rsidRPr="00DA1DBC" w:rsidRDefault="00DA1DBC" w:rsidP="005028DC">
      <w:pPr>
        <w:pStyle w:val="ListParagraph"/>
        <w:numPr>
          <w:ilvl w:val="0"/>
          <w:numId w:val="22"/>
        </w:numPr>
        <w:spacing w:after="0" w:line="240" w:lineRule="auto"/>
        <w:rPr>
          <w:color w:val="000000" w:themeColor="text1"/>
        </w:rPr>
      </w:pPr>
      <w:r>
        <w:rPr>
          <w:color w:val="000000" w:themeColor="text1"/>
        </w:rPr>
        <w:t>A</w:t>
      </w:r>
      <w:r w:rsidRPr="00DA1DBC">
        <w:rPr>
          <w:color w:val="000000" w:themeColor="text1"/>
        </w:rPr>
        <w:t xml:space="preserve">ctive involvement </w:t>
      </w:r>
      <w:r>
        <w:rPr>
          <w:color w:val="000000" w:themeColor="text1"/>
        </w:rPr>
        <w:t xml:space="preserve">of the public should be encouraged </w:t>
      </w:r>
      <w:r w:rsidRPr="00DA1DBC">
        <w:rPr>
          <w:color w:val="000000" w:themeColor="text1"/>
        </w:rPr>
        <w:t>by providing clear time-frames for public consultations</w:t>
      </w:r>
      <w:r w:rsidR="00C23E6D">
        <w:rPr>
          <w:color w:val="000000" w:themeColor="text1"/>
        </w:rPr>
        <w:t>, appropriate announc</w:t>
      </w:r>
      <w:r w:rsidR="00352751">
        <w:rPr>
          <w:color w:val="000000" w:themeColor="text1"/>
        </w:rPr>
        <w:t>ements</w:t>
      </w:r>
      <w:r w:rsidR="0063081D">
        <w:rPr>
          <w:color w:val="000000" w:themeColor="text1"/>
        </w:rPr>
        <w:t xml:space="preserve">/ dissemination of information, </w:t>
      </w:r>
      <w:r>
        <w:rPr>
          <w:color w:val="000000" w:themeColor="text1"/>
        </w:rPr>
        <w:t xml:space="preserve">and </w:t>
      </w:r>
      <w:r w:rsidR="00C23E6D">
        <w:rPr>
          <w:color w:val="000000" w:themeColor="text1"/>
        </w:rPr>
        <w:t xml:space="preserve">provision of </w:t>
      </w:r>
      <w:r>
        <w:rPr>
          <w:color w:val="000000" w:themeColor="text1"/>
        </w:rPr>
        <w:t xml:space="preserve">good quality/ sufficient level of information </w:t>
      </w:r>
      <w:r w:rsidR="0063081D">
        <w:rPr>
          <w:color w:val="000000" w:themeColor="text1"/>
        </w:rPr>
        <w:t xml:space="preserve">in an appropriate format. </w:t>
      </w:r>
      <w:r w:rsidR="00C23E6D">
        <w:rPr>
          <w:color w:val="000000" w:themeColor="text1"/>
        </w:rPr>
        <w:t xml:space="preserve">In preparing public consultation schedules, information on </w:t>
      </w:r>
      <w:r w:rsidRPr="00DA1DBC">
        <w:rPr>
          <w:color w:val="000000" w:themeColor="text1"/>
        </w:rPr>
        <w:t>national/public holidays and events that could influence consultation</w:t>
      </w:r>
      <w:r w:rsidR="00C23E6D">
        <w:rPr>
          <w:color w:val="000000" w:themeColor="text1"/>
        </w:rPr>
        <w:t xml:space="preserve">s should be taken into account. </w:t>
      </w:r>
    </w:p>
    <w:p w14:paraId="74D2781D" w14:textId="77777777" w:rsidR="00224725" w:rsidRDefault="009A72E1" w:rsidP="00C27EF1">
      <w:pPr>
        <w:pStyle w:val="Heading1"/>
      </w:pPr>
      <w:bookmarkStart w:id="15" w:name="_Toc5308785"/>
      <w:r>
        <w:t>N</w:t>
      </w:r>
      <w:r w:rsidR="004506AB" w:rsidRPr="009032D3">
        <w:t>eeds</w:t>
      </w:r>
      <w:r>
        <w:t xml:space="preserve"> and ways </w:t>
      </w:r>
      <w:r w:rsidR="004506AB" w:rsidRPr="009032D3">
        <w:t>for strengthening transboundary procedures in EIAs and SEAs within the Barc</w:t>
      </w:r>
      <w:r w:rsidR="001047E1">
        <w:t>elona Convention area</w:t>
      </w:r>
      <w:bookmarkEnd w:id="15"/>
      <w:r w:rsidR="001047E1">
        <w:t xml:space="preserve"> </w:t>
      </w:r>
    </w:p>
    <w:p w14:paraId="4956F815" w14:textId="77777777" w:rsidR="00430914" w:rsidRPr="00430914" w:rsidRDefault="00430914" w:rsidP="00430914">
      <w:pPr>
        <w:spacing w:after="0" w:line="240" w:lineRule="auto"/>
      </w:pPr>
    </w:p>
    <w:p w14:paraId="287807BC" w14:textId="5FA9C518" w:rsidR="001047E1" w:rsidRPr="00571F02" w:rsidRDefault="0063081D" w:rsidP="00A9369B">
      <w:pPr>
        <w:spacing w:after="0" w:line="240" w:lineRule="auto"/>
        <w:rPr>
          <w:rFonts w:cstheme="minorHAnsi"/>
          <w:color w:val="000000" w:themeColor="text1"/>
        </w:rPr>
      </w:pPr>
      <w:r w:rsidRPr="00571F02">
        <w:rPr>
          <w:rFonts w:cstheme="minorHAnsi"/>
          <w:color w:val="000000" w:themeColor="text1"/>
        </w:rPr>
        <w:t>T</w:t>
      </w:r>
      <w:r w:rsidR="001047E1" w:rsidRPr="00571F02">
        <w:rPr>
          <w:rFonts w:cstheme="minorHAnsi"/>
          <w:color w:val="000000" w:themeColor="text1"/>
        </w:rPr>
        <w:t>ransboundary procedures in EIAs and SEAs within the BC area</w:t>
      </w:r>
      <w:r w:rsidRPr="00571F02">
        <w:rPr>
          <w:rFonts w:cstheme="minorHAnsi"/>
          <w:color w:val="000000" w:themeColor="text1"/>
        </w:rPr>
        <w:t xml:space="preserve"> need to be strengthened for several reasons. First of all, </w:t>
      </w:r>
      <w:r w:rsidR="00C2299B">
        <w:rPr>
          <w:rFonts w:cstheme="minorHAnsi"/>
          <w:color w:val="000000" w:themeColor="text1"/>
        </w:rPr>
        <w:t xml:space="preserve">the respective </w:t>
      </w:r>
      <w:r w:rsidR="001047E1" w:rsidRPr="00571F02">
        <w:rPr>
          <w:rFonts w:cstheme="minorHAnsi"/>
          <w:color w:val="000000" w:themeColor="text1"/>
        </w:rPr>
        <w:t>BC/ ICZM Protocol</w:t>
      </w:r>
      <w:r w:rsidR="00C2299B">
        <w:rPr>
          <w:rFonts w:cstheme="minorHAnsi"/>
          <w:color w:val="000000" w:themeColor="text1"/>
        </w:rPr>
        <w:t xml:space="preserve"> requirements need to be complied with in a more consistent manner </w:t>
      </w:r>
      <w:r w:rsidR="00C16EA7">
        <w:rPr>
          <w:rFonts w:cstheme="minorHAnsi"/>
          <w:color w:val="000000" w:themeColor="text1"/>
        </w:rPr>
        <w:t>across the region</w:t>
      </w:r>
      <w:r w:rsidR="001047E1" w:rsidRPr="00571F02">
        <w:rPr>
          <w:rFonts w:cstheme="minorHAnsi"/>
          <w:color w:val="000000" w:themeColor="text1"/>
        </w:rPr>
        <w:t xml:space="preserve">. Moreover, </w:t>
      </w:r>
      <w:r w:rsidR="00224725" w:rsidRPr="00571F02">
        <w:rPr>
          <w:rFonts w:cstheme="minorHAnsi"/>
          <w:color w:val="000000" w:themeColor="text1"/>
        </w:rPr>
        <w:t>potential of environmental assessments to contribute to the BC policy objectives needs to be utilised better</w:t>
      </w:r>
      <w:r w:rsidR="00E67886" w:rsidRPr="00571F02">
        <w:rPr>
          <w:rFonts w:cstheme="minorHAnsi"/>
          <w:color w:val="000000" w:themeColor="text1"/>
        </w:rPr>
        <w:t xml:space="preserve">, </w:t>
      </w:r>
      <w:r w:rsidR="00224725" w:rsidRPr="00571F02">
        <w:rPr>
          <w:rFonts w:cstheme="minorHAnsi"/>
          <w:color w:val="000000" w:themeColor="text1"/>
        </w:rPr>
        <w:t xml:space="preserve">and transboundary cooperation and exchange of experiences enhanced. </w:t>
      </w:r>
      <w:r w:rsidR="00E67886" w:rsidRPr="00571F02">
        <w:rPr>
          <w:rFonts w:cstheme="minorHAnsi"/>
          <w:color w:val="000000" w:themeColor="text1"/>
        </w:rPr>
        <w:t xml:space="preserve">There is also a need for the </w:t>
      </w:r>
      <w:r w:rsidR="00224725" w:rsidRPr="00571F02">
        <w:rPr>
          <w:rFonts w:cstheme="minorHAnsi"/>
          <w:color w:val="000000" w:themeColor="text1"/>
        </w:rPr>
        <w:t xml:space="preserve">overall practices within the Barcelona Convention area to be </w:t>
      </w:r>
      <w:r w:rsidR="00C2299B">
        <w:rPr>
          <w:rFonts w:cstheme="minorHAnsi"/>
          <w:color w:val="000000" w:themeColor="text1"/>
        </w:rPr>
        <w:t xml:space="preserve">better aligned with </w:t>
      </w:r>
      <w:r w:rsidRPr="00571F02">
        <w:rPr>
          <w:rFonts w:cstheme="minorHAnsi"/>
          <w:color w:val="000000" w:themeColor="text1"/>
        </w:rPr>
        <w:t xml:space="preserve">the </w:t>
      </w:r>
      <w:r w:rsidR="001047E1" w:rsidRPr="00571F02">
        <w:rPr>
          <w:rFonts w:cstheme="minorHAnsi"/>
          <w:color w:val="000000" w:themeColor="text1"/>
        </w:rPr>
        <w:t xml:space="preserve">UNECE and EU </w:t>
      </w:r>
      <w:r w:rsidR="00224725" w:rsidRPr="00571F02">
        <w:rPr>
          <w:rFonts w:cstheme="minorHAnsi"/>
          <w:color w:val="000000" w:themeColor="text1"/>
        </w:rPr>
        <w:t xml:space="preserve">requirements </w:t>
      </w:r>
      <w:r w:rsidR="00C2299B">
        <w:rPr>
          <w:rFonts w:cstheme="minorHAnsi"/>
          <w:color w:val="000000" w:themeColor="text1"/>
        </w:rPr>
        <w:t xml:space="preserve">as </w:t>
      </w:r>
      <w:r w:rsidR="00571F02" w:rsidRPr="00571F02">
        <w:rPr>
          <w:rFonts w:cstheme="minorHAnsi"/>
          <w:color w:val="000000" w:themeColor="text1"/>
        </w:rPr>
        <w:t xml:space="preserve">both </w:t>
      </w:r>
      <w:r w:rsidR="00E67886" w:rsidRPr="00571F02">
        <w:rPr>
          <w:rFonts w:cstheme="minorHAnsi"/>
          <w:color w:val="000000" w:themeColor="text1"/>
        </w:rPr>
        <w:t xml:space="preserve">frameworks are highly relevant </w:t>
      </w:r>
      <w:r w:rsidRPr="00571F02">
        <w:rPr>
          <w:rFonts w:cstheme="minorHAnsi"/>
          <w:color w:val="000000" w:themeColor="text1"/>
        </w:rPr>
        <w:t xml:space="preserve">for </w:t>
      </w:r>
      <w:r w:rsidR="004476A4">
        <w:rPr>
          <w:rFonts w:cstheme="minorHAnsi"/>
          <w:color w:val="000000" w:themeColor="text1"/>
        </w:rPr>
        <w:t xml:space="preserve">all </w:t>
      </w:r>
      <w:r w:rsidRPr="00571F02">
        <w:rPr>
          <w:rFonts w:cstheme="minorHAnsi"/>
          <w:color w:val="000000" w:themeColor="text1"/>
        </w:rPr>
        <w:t xml:space="preserve">the Mediterranean </w:t>
      </w:r>
      <w:r w:rsidR="00224725" w:rsidRPr="00571F02">
        <w:rPr>
          <w:rFonts w:cstheme="minorHAnsi"/>
          <w:color w:val="000000" w:themeColor="text1"/>
        </w:rPr>
        <w:t>countries</w:t>
      </w:r>
      <w:r w:rsidR="00571F02">
        <w:rPr>
          <w:rFonts w:cstheme="minorHAnsi"/>
          <w:color w:val="000000" w:themeColor="text1"/>
        </w:rPr>
        <w:t xml:space="preserve">. The </w:t>
      </w:r>
      <w:r w:rsidR="00F227CE" w:rsidRPr="00571F02">
        <w:rPr>
          <w:rFonts w:cstheme="minorHAnsi"/>
          <w:color w:val="000000" w:themeColor="text1"/>
        </w:rPr>
        <w:t xml:space="preserve">UNECE/ EU </w:t>
      </w:r>
      <w:r w:rsidR="00390F19" w:rsidRPr="00571F02">
        <w:rPr>
          <w:rFonts w:cstheme="minorHAnsi"/>
          <w:color w:val="000000" w:themeColor="text1"/>
        </w:rPr>
        <w:t>instruments</w:t>
      </w:r>
      <w:r w:rsidR="00571F02">
        <w:rPr>
          <w:rFonts w:cstheme="minorHAnsi"/>
          <w:color w:val="000000" w:themeColor="text1"/>
        </w:rPr>
        <w:t xml:space="preserve">, for example, </w:t>
      </w:r>
      <w:r w:rsidR="00F227CE" w:rsidRPr="00571F02">
        <w:rPr>
          <w:rFonts w:cstheme="minorHAnsi"/>
          <w:color w:val="000000" w:themeColor="text1"/>
        </w:rPr>
        <w:t>provide for and promote application of best practices in transboundary assessments</w:t>
      </w:r>
      <w:r w:rsidR="004476A4">
        <w:rPr>
          <w:rFonts w:cstheme="minorHAnsi"/>
          <w:color w:val="000000" w:themeColor="text1"/>
        </w:rPr>
        <w:t xml:space="preserve"> and set standards that should be adopted throughout the Mediterranean</w:t>
      </w:r>
      <w:r w:rsidR="00571F02">
        <w:rPr>
          <w:rFonts w:cstheme="minorHAnsi"/>
          <w:color w:val="000000" w:themeColor="text1"/>
        </w:rPr>
        <w:t xml:space="preserve">. </w:t>
      </w:r>
      <w:r w:rsidR="004476A4">
        <w:rPr>
          <w:rFonts w:cstheme="minorHAnsi"/>
          <w:color w:val="000000" w:themeColor="text1"/>
        </w:rPr>
        <w:t xml:space="preserve">At the same time, </w:t>
      </w:r>
      <w:r w:rsidR="001047E1" w:rsidRPr="00571F02">
        <w:rPr>
          <w:rFonts w:cstheme="minorHAnsi"/>
          <w:color w:val="000000" w:themeColor="text1"/>
        </w:rPr>
        <w:t xml:space="preserve">UNECE </w:t>
      </w:r>
      <w:r w:rsidRPr="00571F02">
        <w:rPr>
          <w:rFonts w:cstheme="minorHAnsi"/>
          <w:color w:val="000000" w:themeColor="text1"/>
        </w:rPr>
        <w:t xml:space="preserve">offers significant capacity building opportunities and its agreements </w:t>
      </w:r>
      <w:r w:rsidR="001047E1" w:rsidRPr="00571F02">
        <w:rPr>
          <w:rFonts w:cstheme="minorHAnsi"/>
          <w:color w:val="000000" w:themeColor="text1"/>
        </w:rPr>
        <w:t>are expected to become open for the non-UNECE countries</w:t>
      </w:r>
      <w:r w:rsidR="00571F02">
        <w:rPr>
          <w:rFonts w:cstheme="minorHAnsi"/>
          <w:color w:val="000000" w:themeColor="text1"/>
        </w:rPr>
        <w:t xml:space="preserve">. </w:t>
      </w:r>
      <w:r w:rsidR="00C16EA7">
        <w:rPr>
          <w:rFonts w:cstheme="minorHAnsi"/>
          <w:color w:val="000000" w:themeColor="text1"/>
        </w:rPr>
        <w:t>T</w:t>
      </w:r>
      <w:r w:rsidR="00571F02">
        <w:rPr>
          <w:rFonts w:cstheme="minorHAnsi"/>
          <w:color w:val="000000" w:themeColor="text1"/>
        </w:rPr>
        <w:t xml:space="preserve">he </w:t>
      </w:r>
      <w:r w:rsidR="001047E1" w:rsidRPr="00571F02">
        <w:rPr>
          <w:rFonts w:cstheme="minorHAnsi"/>
          <w:color w:val="000000" w:themeColor="text1"/>
        </w:rPr>
        <w:t xml:space="preserve">EU accession process and neighbourhood policies </w:t>
      </w:r>
      <w:r w:rsidR="00692F64" w:rsidRPr="00571F02">
        <w:rPr>
          <w:rFonts w:cstheme="minorHAnsi"/>
          <w:color w:val="000000" w:themeColor="text1"/>
        </w:rPr>
        <w:t>have an effect on</w:t>
      </w:r>
      <w:r w:rsidR="001047E1" w:rsidRPr="00571F02">
        <w:rPr>
          <w:rFonts w:cstheme="minorHAnsi"/>
          <w:color w:val="000000" w:themeColor="text1"/>
        </w:rPr>
        <w:t xml:space="preserve"> a significant number of </w:t>
      </w:r>
      <w:r w:rsidR="00692F64" w:rsidRPr="00571F02">
        <w:rPr>
          <w:rFonts w:cstheme="minorHAnsi"/>
          <w:color w:val="000000" w:themeColor="text1"/>
        </w:rPr>
        <w:t xml:space="preserve">the </w:t>
      </w:r>
      <w:r w:rsidR="001047E1" w:rsidRPr="00571F02">
        <w:rPr>
          <w:rFonts w:cstheme="minorHAnsi"/>
          <w:color w:val="000000" w:themeColor="text1"/>
        </w:rPr>
        <w:t>Contracting Parties</w:t>
      </w:r>
      <w:r w:rsidR="00F227CE" w:rsidRPr="00571F02">
        <w:rPr>
          <w:rFonts w:cstheme="minorHAnsi"/>
          <w:color w:val="000000" w:themeColor="text1"/>
        </w:rPr>
        <w:t xml:space="preserve">. </w:t>
      </w:r>
      <w:r w:rsidR="001047E1" w:rsidRPr="00571F02">
        <w:rPr>
          <w:rFonts w:cstheme="minorHAnsi"/>
          <w:color w:val="000000" w:themeColor="text1"/>
        </w:rPr>
        <w:t xml:space="preserve"> </w:t>
      </w:r>
    </w:p>
    <w:p w14:paraId="1FCD836D" w14:textId="77777777" w:rsidR="00224725" w:rsidRDefault="00224725" w:rsidP="00224725">
      <w:pPr>
        <w:spacing w:after="0" w:line="240" w:lineRule="auto"/>
        <w:rPr>
          <w:rFonts w:cstheme="minorHAnsi"/>
        </w:rPr>
      </w:pPr>
    </w:p>
    <w:p w14:paraId="2A37B50E" w14:textId="6CEE3948" w:rsidR="00016B1F" w:rsidRPr="003F513C" w:rsidRDefault="009C6242" w:rsidP="00C27EF1">
      <w:pPr>
        <w:spacing w:after="0" w:line="240" w:lineRule="auto"/>
        <w:rPr>
          <w:rFonts w:cstheme="minorHAnsi"/>
          <w:color w:val="000000" w:themeColor="text1"/>
        </w:rPr>
      </w:pPr>
      <w:r>
        <w:rPr>
          <w:rFonts w:cstheme="minorHAnsi"/>
          <w:color w:val="000000" w:themeColor="text1"/>
        </w:rPr>
        <w:t>C</w:t>
      </w:r>
      <w:r w:rsidR="00016B1F" w:rsidRPr="003F513C">
        <w:rPr>
          <w:rFonts w:cstheme="minorHAnsi"/>
          <w:color w:val="000000" w:themeColor="text1"/>
        </w:rPr>
        <w:t xml:space="preserve">ooperation mechanisms and/ or institutional structures for notification, exchange of information and consultation for transboundary </w:t>
      </w:r>
      <w:r w:rsidR="00F227CE" w:rsidRPr="003F513C">
        <w:rPr>
          <w:rFonts w:cstheme="minorHAnsi"/>
          <w:color w:val="000000" w:themeColor="text1"/>
        </w:rPr>
        <w:t>environmental assessments</w:t>
      </w:r>
      <w:r w:rsidR="00E67886" w:rsidRPr="003F513C">
        <w:rPr>
          <w:rFonts w:cstheme="minorHAnsi"/>
          <w:color w:val="000000" w:themeColor="text1"/>
        </w:rPr>
        <w:t xml:space="preserve"> </w:t>
      </w:r>
      <w:r>
        <w:rPr>
          <w:rFonts w:cstheme="minorHAnsi"/>
          <w:color w:val="000000" w:themeColor="text1"/>
        </w:rPr>
        <w:t xml:space="preserve">have been reported for </w:t>
      </w:r>
      <w:r w:rsidR="00E67886" w:rsidRPr="003F513C">
        <w:rPr>
          <w:rFonts w:cstheme="minorHAnsi"/>
          <w:color w:val="000000" w:themeColor="text1"/>
        </w:rPr>
        <w:t>just above half the BC Contracting Parties (12 countries)</w:t>
      </w:r>
      <w:r>
        <w:rPr>
          <w:rFonts w:cstheme="minorHAnsi"/>
          <w:color w:val="000000" w:themeColor="text1"/>
        </w:rPr>
        <w:t>, while the number of ratifications of the ICZM Protocol stands at 11</w:t>
      </w:r>
      <w:r w:rsidR="00E67886" w:rsidRPr="003F513C">
        <w:rPr>
          <w:rFonts w:cstheme="minorHAnsi"/>
          <w:color w:val="000000" w:themeColor="text1"/>
        </w:rPr>
        <w:t>. A</w:t>
      </w:r>
      <w:r>
        <w:rPr>
          <w:rFonts w:cstheme="minorHAnsi"/>
          <w:color w:val="000000" w:themeColor="text1"/>
        </w:rPr>
        <w:t xml:space="preserve">t the same time, </w:t>
      </w:r>
      <w:r w:rsidR="00E67886" w:rsidRPr="003F513C">
        <w:rPr>
          <w:rFonts w:cstheme="minorHAnsi"/>
          <w:color w:val="000000" w:themeColor="text1"/>
        </w:rPr>
        <w:t xml:space="preserve">six Barcelona Convention Contracting Parties are </w:t>
      </w:r>
      <w:r w:rsidR="00016B1F" w:rsidRPr="003F513C">
        <w:rPr>
          <w:rFonts w:cstheme="minorHAnsi"/>
          <w:color w:val="000000" w:themeColor="text1"/>
        </w:rPr>
        <w:t xml:space="preserve">not </w:t>
      </w:r>
      <w:r w:rsidR="00390F19">
        <w:rPr>
          <w:rFonts w:cstheme="minorHAnsi"/>
          <w:color w:val="000000" w:themeColor="text1"/>
        </w:rPr>
        <w:t xml:space="preserve">parties to either the ICZM Protocol or the </w:t>
      </w:r>
      <w:r w:rsidR="00016B1F" w:rsidRPr="003F513C">
        <w:rPr>
          <w:rFonts w:cstheme="minorHAnsi"/>
          <w:color w:val="000000" w:themeColor="text1"/>
        </w:rPr>
        <w:t xml:space="preserve">UNECE agreements on EIA and SEA in a transboundary context. </w:t>
      </w:r>
    </w:p>
    <w:p w14:paraId="3629A65D" w14:textId="77777777" w:rsidR="00C27EF1" w:rsidRPr="003F513C" w:rsidRDefault="00C27EF1" w:rsidP="003F513C">
      <w:pPr>
        <w:spacing w:after="0" w:line="240" w:lineRule="auto"/>
        <w:rPr>
          <w:rFonts w:cstheme="minorHAnsi"/>
          <w:color w:val="000000" w:themeColor="text1"/>
        </w:rPr>
      </w:pPr>
    </w:p>
    <w:p w14:paraId="0CF13288" w14:textId="37A6C39E" w:rsidR="003F513C" w:rsidRDefault="003F513C" w:rsidP="003F513C">
      <w:pPr>
        <w:spacing w:after="0" w:line="240" w:lineRule="auto"/>
        <w:rPr>
          <w:rFonts w:cstheme="minorHAnsi"/>
          <w:color w:val="000000" w:themeColor="text1"/>
        </w:rPr>
      </w:pPr>
      <w:r w:rsidRPr="003F513C">
        <w:rPr>
          <w:rFonts w:cstheme="minorHAnsi"/>
          <w:color w:val="000000" w:themeColor="text1"/>
        </w:rPr>
        <w:t xml:space="preserve">The EIA regulations in countries outside the area of application of the EU and UNECE instruments as a rule do not contain provisions on how the procedures should be conducted in case of transboundary impacts, and the lack of or incomplete provisions on SEA are typically found in these countries. Even when legal provisions are in </w:t>
      </w:r>
      <w:r w:rsidR="00352751">
        <w:rPr>
          <w:rFonts w:cstheme="minorHAnsi"/>
          <w:color w:val="000000" w:themeColor="text1"/>
        </w:rPr>
        <w:t xml:space="preserve">place </w:t>
      </w:r>
      <w:r w:rsidR="009C6242">
        <w:rPr>
          <w:rFonts w:cstheme="minorHAnsi"/>
          <w:color w:val="000000" w:themeColor="text1"/>
        </w:rPr>
        <w:t>and notwithstanding a good progress in the implementation of environmental assessments in recent years</w:t>
      </w:r>
      <w:r w:rsidRPr="003F513C">
        <w:rPr>
          <w:rFonts w:cstheme="minorHAnsi"/>
          <w:color w:val="000000" w:themeColor="text1"/>
        </w:rPr>
        <w:t xml:space="preserve">, there is a room for improvement in transboundary assessment practices across the region. </w:t>
      </w:r>
    </w:p>
    <w:p w14:paraId="1C2C4867" w14:textId="77777777" w:rsidR="003F513C" w:rsidRPr="003F513C" w:rsidRDefault="003F513C" w:rsidP="003F513C">
      <w:pPr>
        <w:spacing w:after="0" w:line="240" w:lineRule="auto"/>
        <w:rPr>
          <w:rFonts w:cstheme="minorHAnsi"/>
          <w:color w:val="000000" w:themeColor="text1"/>
        </w:rPr>
      </w:pPr>
    </w:p>
    <w:p w14:paraId="69E24559" w14:textId="46B0D93E" w:rsidR="00025C13" w:rsidRPr="00893288" w:rsidRDefault="003F513C" w:rsidP="006A57EA">
      <w:pPr>
        <w:spacing w:after="0" w:line="240" w:lineRule="auto"/>
        <w:rPr>
          <w:i/>
          <w:color w:val="000000" w:themeColor="text1"/>
        </w:rPr>
      </w:pPr>
      <w:r w:rsidRPr="003F513C">
        <w:rPr>
          <w:rFonts w:cstheme="minorHAnsi"/>
          <w:color w:val="000000" w:themeColor="text1"/>
        </w:rPr>
        <w:t xml:space="preserve">It is </w:t>
      </w:r>
      <w:r w:rsidR="009C6242">
        <w:rPr>
          <w:rFonts w:cstheme="minorHAnsi"/>
          <w:color w:val="000000" w:themeColor="text1"/>
        </w:rPr>
        <w:t xml:space="preserve">in particular </w:t>
      </w:r>
      <w:r w:rsidRPr="003F513C">
        <w:rPr>
          <w:rFonts w:cstheme="minorHAnsi"/>
          <w:color w:val="000000" w:themeColor="text1"/>
        </w:rPr>
        <w:t>important to stimulate further cooperation and transfer of experiences in the Mediterranean to overcome the challenges faced in transboundary SEAs which include but are not limited to</w:t>
      </w:r>
      <w:r w:rsidR="009C6242">
        <w:rPr>
          <w:rFonts w:cstheme="minorHAnsi"/>
          <w:color w:val="000000" w:themeColor="text1"/>
        </w:rPr>
        <w:t>:</w:t>
      </w:r>
      <w:r w:rsidRPr="003F513C">
        <w:rPr>
          <w:rFonts w:cstheme="minorHAnsi"/>
          <w:color w:val="000000" w:themeColor="text1"/>
        </w:rPr>
        <w:t xml:space="preserve"> weak </w:t>
      </w:r>
      <w:r w:rsidR="009C6242">
        <w:rPr>
          <w:rFonts w:cstheme="minorHAnsi"/>
          <w:color w:val="000000" w:themeColor="text1"/>
        </w:rPr>
        <w:t xml:space="preserve">(or non-existent) </w:t>
      </w:r>
      <w:r w:rsidRPr="003F513C">
        <w:rPr>
          <w:rFonts w:cstheme="minorHAnsi"/>
          <w:color w:val="000000" w:themeColor="text1"/>
        </w:rPr>
        <w:t>institutional/ legal frameworks</w:t>
      </w:r>
      <w:r w:rsidR="009C6242">
        <w:rPr>
          <w:rFonts w:cstheme="minorHAnsi"/>
          <w:color w:val="000000" w:themeColor="text1"/>
        </w:rPr>
        <w:t xml:space="preserve">; </w:t>
      </w:r>
      <w:r w:rsidRPr="003F513C">
        <w:rPr>
          <w:rFonts w:cstheme="minorHAnsi"/>
          <w:color w:val="000000" w:themeColor="text1"/>
        </w:rPr>
        <w:t xml:space="preserve">insufficient </w:t>
      </w:r>
      <w:r w:rsidR="009C6242">
        <w:rPr>
          <w:rFonts w:cstheme="minorHAnsi"/>
          <w:color w:val="000000" w:themeColor="text1"/>
        </w:rPr>
        <w:t xml:space="preserve">capacities and </w:t>
      </w:r>
      <w:r w:rsidRPr="003F513C">
        <w:rPr>
          <w:rFonts w:cstheme="minorHAnsi"/>
          <w:color w:val="000000" w:themeColor="text1"/>
        </w:rPr>
        <w:t>experiences</w:t>
      </w:r>
      <w:r w:rsidR="009C6242">
        <w:rPr>
          <w:rFonts w:cstheme="minorHAnsi"/>
          <w:color w:val="000000" w:themeColor="text1"/>
        </w:rPr>
        <w:t xml:space="preserve">; </w:t>
      </w:r>
      <w:r w:rsidRPr="003F513C">
        <w:rPr>
          <w:rFonts w:cstheme="minorHAnsi"/>
          <w:color w:val="000000" w:themeColor="text1"/>
        </w:rPr>
        <w:t xml:space="preserve"> complexity of procedures involving two or more countries</w:t>
      </w:r>
      <w:r w:rsidR="009C6242">
        <w:rPr>
          <w:rFonts w:cstheme="minorHAnsi"/>
          <w:color w:val="000000" w:themeColor="text1"/>
        </w:rPr>
        <w:t xml:space="preserve">; </w:t>
      </w:r>
      <w:r w:rsidR="006A57EA">
        <w:rPr>
          <w:rFonts w:cstheme="minorHAnsi"/>
          <w:color w:val="000000" w:themeColor="text1"/>
        </w:rPr>
        <w:t xml:space="preserve">potential practical hindrances to </w:t>
      </w:r>
      <w:r w:rsidRPr="003F513C">
        <w:rPr>
          <w:rFonts w:cstheme="minorHAnsi"/>
          <w:color w:val="000000" w:themeColor="text1"/>
        </w:rPr>
        <w:t xml:space="preserve">effective transboundary consultations </w:t>
      </w:r>
      <w:r w:rsidR="006A57EA">
        <w:rPr>
          <w:rFonts w:cstheme="minorHAnsi"/>
          <w:color w:val="000000" w:themeColor="text1"/>
        </w:rPr>
        <w:t xml:space="preserve">such as </w:t>
      </w:r>
      <w:r w:rsidRPr="003F513C">
        <w:rPr>
          <w:rFonts w:cstheme="minorHAnsi"/>
          <w:color w:val="000000" w:themeColor="text1"/>
        </w:rPr>
        <w:t>different</w:t>
      </w:r>
      <w:r w:rsidR="00690119">
        <w:rPr>
          <w:rFonts w:cstheme="minorHAnsi"/>
          <w:color w:val="000000" w:themeColor="text1"/>
        </w:rPr>
        <w:t xml:space="preserve">/ non-harmonised </w:t>
      </w:r>
      <w:r w:rsidRPr="003F513C">
        <w:rPr>
          <w:rFonts w:cstheme="minorHAnsi"/>
          <w:color w:val="000000" w:themeColor="text1"/>
        </w:rPr>
        <w:t xml:space="preserve"> timeframes, </w:t>
      </w:r>
      <w:r w:rsidRPr="003F513C">
        <w:rPr>
          <w:color w:val="000000" w:themeColor="text1"/>
        </w:rPr>
        <w:t>lack of information regarding planning process</w:t>
      </w:r>
      <w:r w:rsidR="006A57EA">
        <w:rPr>
          <w:color w:val="000000" w:themeColor="text1"/>
        </w:rPr>
        <w:t>es</w:t>
      </w:r>
      <w:r w:rsidRPr="003F513C">
        <w:rPr>
          <w:color w:val="000000" w:themeColor="text1"/>
        </w:rPr>
        <w:t>/</w:t>
      </w:r>
      <w:r>
        <w:rPr>
          <w:color w:val="000000" w:themeColor="text1"/>
        </w:rPr>
        <w:t xml:space="preserve"> </w:t>
      </w:r>
      <w:r w:rsidRPr="003F513C">
        <w:rPr>
          <w:color w:val="000000" w:themeColor="text1"/>
        </w:rPr>
        <w:t xml:space="preserve"> participation timeframes</w:t>
      </w:r>
      <w:r w:rsidRPr="003F513C">
        <w:rPr>
          <w:rFonts w:cstheme="minorHAnsi"/>
          <w:color w:val="000000" w:themeColor="text1"/>
        </w:rPr>
        <w:t>, translation, additional costs</w:t>
      </w:r>
      <w:r w:rsidR="006A57EA">
        <w:rPr>
          <w:rFonts w:cstheme="minorHAnsi"/>
          <w:color w:val="000000" w:themeColor="text1"/>
        </w:rPr>
        <w:t xml:space="preserve">, </w:t>
      </w:r>
      <w:r w:rsidRPr="003F513C">
        <w:rPr>
          <w:rFonts w:cstheme="minorHAnsi"/>
          <w:color w:val="000000" w:themeColor="text1"/>
        </w:rPr>
        <w:t>etc.</w:t>
      </w:r>
      <w:r>
        <w:rPr>
          <w:rFonts w:cstheme="minorHAnsi"/>
          <w:color w:val="000000" w:themeColor="text1"/>
        </w:rPr>
        <w:t xml:space="preserve"> The </w:t>
      </w:r>
      <w:r w:rsidR="00157957" w:rsidRPr="003F513C">
        <w:rPr>
          <w:rFonts w:cstheme="minorHAnsi"/>
          <w:color w:val="000000" w:themeColor="text1"/>
        </w:rPr>
        <w:t xml:space="preserve">need to strengthen application of SEA </w:t>
      </w:r>
      <w:r>
        <w:rPr>
          <w:rFonts w:cstheme="minorHAnsi"/>
          <w:color w:val="000000" w:themeColor="text1"/>
        </w:rPr>
        <w:t xml:space="preserve">becomes more pronounced </w:t>
      </w:r>
      <w:r w:rsidR="00157957" w:rsidRPr="003F513C">
        <w:rPr>
          <w:rFonts w:cstheme="minorHAnsi"/>
          <w:color w:val="000000" w:themeColor="text1"/>
        </w:rPr>
        <w:t>as it is expected that the use of MSP will gain significance in the future</w:t>
      </w:r>
      <w:r w:rsidR="006A57EA">
        <w:rPr>
          <w:rFonts w:cstheme="minorHAnsi"/>
          <w:color w:val="000000" w:themeColor="text1"/>
        </w:rPr>
        <w:t xml:space="preserve">, with </w:t>
      </w:r>
      <w:r w:rsidR="00157957" w:rsidRPr="003F513C">
        <w:rPr>
          <w:rFonts w:cstheme="minorHAnsi"/>
          <w:color w:val="000000" w:themeColor="text1"/>
        </w:rPr>
        <w:t xml:space="preserve">MSP </w:t>
      </w:r>
      <w:r w:rsidR="006A57EA">
        <w:rPr>
          <w:rFonts w:cstheme="minorHAnsi"/>
          <w:color w:val="000000" w:themeColor="text1"/>
        </w:rPr>
        <w:t xml:space="preserve">being </w:t>
      </w:r>
      <w:r w:rsidR="00157957" w:rsidRPr="003F513C">
        <w:rPr>
          <w:rFonts w:cstheme="minorHAnsi"/>
          <w:color w:val="000000" w:themeColor="text1"/>
        </w:rPr>
        <w:t xml:space="preserve">considered as the main tool/ </w:t>
      </w:r>
      <w:r w:rsidR="00157957" w:rsidRPr="00893288">
        <w:rPr>
          <w:rFonts w:cstheme="minorHAnsi"/>
          <w:color w:val="000000" w:themeColor="text1"/>
        </w:rPr>
        <w:t xml:space="preserve">process for the implementation of ICZM in the marine part of the coastal zone and for planning and managing maritime human activities according to </w:t>
      </w:r>
      <w:proofErr w:type="spellStart"/>
      <w:r w:rsidR="00157957" w:rsidRPr="00893288">
        <w:rPr>
          <w:rFonts w:cstheme="minorHAnsi"/>
          <w:color w:val="000000" w:themeColor="text1"/>
        </w:rPr>
        <w:t>EcAp</w:t>
      </w:r>
      <w:proofErr w:type="spellEnd"/>
      <w:r w:rsidR="00157957" w:rsidRPr="00893288">
        <w:rPr>
          <w:rFonts w:cstheme="minorHAnsi"/>
          <w:color w:val="000000" w:themeColor="text1"/>
        </w:rPr>
        <w:t xml:space="preserve"> objectives</w:t>
      </w:r>
      <w:r w:rsidRPr="00893288">
        <w:rPr>
          <w:rFonts w:cstheme="minorHAnsi"/>
          <w:color w:val="000000" w:themeColor="text1"/>
        </w:rPr>
        <w:t xml:space="preserve">. </w:t>
      </w:r>
    </w:p>
    <w:p w14:paraId="098AF3F9" w14:textId="77777777" w:rsidR="006A57EA" w:rsidRPr="00893288" w:rsidRDefault="006A57EA" w:rsidP="006A57EA">
      <w:pPr>
        <w:spacing w:after="0" w:line="240" w:lineRule="auto"/>
        <w:rPr>
          <w:rFonts w:cstheme="minorHAnsi"/>
          <w:color w:val="000000" w:themeColor="text1"/>
        </w:rPr>
      </w:pPr>
    </w:p>
    <w:p w14:paraId="6E2291A8" w14:textId="6C8C2D5B" w:rsidR="006A57EA" w:rsidRPr="00893288" w:rsidRDefault="007E5CA9" w:rsidP="006A57EA">
      <w:pPr>
        <w:spacing w:after="0" w:line="240" w:lineRule="auto"/>
        <w:rPr>
          <w:color w:val="000000" w:themeColor="text1"/>
        </w:rPr>
      </w:pPr>
      <w:r w:rsidRPr="00893288">
        <w:rPr>
          <w:iCs/>
          <w:color w:val="000000" w:themeColor="text1"/>
        </w:rPr>
        <w:lastRenderedPageBreak/>
        <w:t xml:space="preserve">Having in mind potential of environmental assessments to contribute to </w:t>
      </w:r>
      <w:r w:rsidRPr="00893288">
        <w:rPr>
          <w:color w:val="000000" w:themeColor="text1"/>
        </w:rPr>
        <w:t xml:space="preserve">the implementation of ICZM, achievement of GES and sustainable development, </w:t>
      </w:r>
      <w:r w:rsidR="00833162">
        <w:rPr>
          <w:color w:val="000000" w:themeColor="text1"/>
        </w:rPr>
        <w:t xml:space="preserve">it is recommended that </w:t>
      </w:r>
      <w:r w:rsidRPr="00893288">
        <w:rPr>
          <w:color w:val="000000" w:themeColor="text1"/>
        </w:rPr>
        <w:t xml:space="preserve">the </w:t>
      </w:r>
      <w:r w:rsidR="00151D0C" w:rsidRPr="00893288">
        <w:rPr>
          <w:iCs/>
          <w:color w:val="000000" w:themeColor="text1"/>
        </w:rPr>
        <w:t xml:space="preserve">Contracting Parties and the UN Environment/ MAP – Barcelona Convention system </w:t>
      </w:r>
      <w:r w:rsidRPr="00893288">
        <w:rPr>
          <w:iCs/>
          <w:color w:val="000000" w:themeColor="text1"/>
        </w:rPr>
        <w:t xml:space="preserve">continue with and step up cooperation to </w:t>
      </w:r>
      <w:r w:rsidR="00167339" w:rsidRPr="00893288">
        <w:rPr>
          <w:iCs/>
          <w:color w:val="000000" w:themeColor="text1"/>
        </w:rPr>
        <w:t xml:space="preserve">improve </w:t>
      </w:r>
      <w:r w:rsidRPr="00893288">
        <w:rPr>
          <w:iCs/>
          <w:color w:val="000000" w:themeColor="text1"/>
        </w:rPr>
        <w:t xml:space="preserve">transboundary </w:t>
      </w:r>
      <w:r w:rsidR="00D65135" w:rsidRPr="00893288">
        <w:rPr>
          <w:iCs/>
          <w:color w:val="000000" w:themeColor="text1"/>
        </w:rPr>
        <w:t>environmental assessments</w:t>
      </w:r>
      <w:r w:rsidR="00D65135" w:rsidRPr="00893288">
        <w:rPr>
          <w:color w:val="000000" w:themeColor="text1"/>
        </w:rPr>
        <w:t xml:space="preserve"> </w:t>
      </w:r>
      <w:r w:rsidRPr="00893288">
        <w:rPr>
          <w:iCs/>
          <w:color w:val="000000" w:themeColor="text1"/>
        </w:rPr>
        <w:t>frameworks and practices</w:t>
      </w:r>
      <w:r w:rsidR="00FA37D1" w:rsidRPr="00893288">
        <w:rPr>
          <w:iCs/>
          <w:color w:val="000000" w:themeColor="text1"/>
        </w:rPr>
        <w:t xml:space="preserve"> in the Mediterranean</w:t>
      </w:r>
      <w:r w:rsidRPr="00893288">
        <w:rPr>
          <w:iCs/>
          <w:color w:val="000000" w:themeColor="text1"/>
        </w:rPr>
        <w:t xml:space="preserve">. </w:t>
      </w:r>
      <w:r w:rsidR="00FA37D1" w:rsidRPr="00893288">
        <w:rPr>
          <w:iCs/>
          <w:color w:val="000000" w:themeColor="text1"/>
        </w:rPr>
        <w:t>F</w:t>
      </w:r>
      <w:r w:rsidRPr="00893288">
        <w:rPr>
          <w:color w:val="000000" w:themeColor="text1"/>
        </w:rPr>
        <w:t xml:space="preserve">urther </w:t>
      </w:r>
      <w:r w:rsidR="00FA37D1" w:rsidRPr="00893288">
        <w:rPr>
          <w:color w:val="000000" w:themeColor="text1"/>
        </w:rPr>
        <w:t>efforts</w:t>
      </w:r>
      <w:r w:rsidRPr="00893288">
        <w:rPr>
          <w:color w:val="000000" w:themeColor="text1"/>
        </w:rPr>
        <w:t xml:space="preserve"> </w:t>
      </w:r>
      <w:r w:rsidR="00FA37D1" w:rsidRPr="00893288">
        <w:rPr>
          <w:color w:val="000000" w:themeColor="text1"/>
        </w:rPr>
        <w:t>are needed as regards the following</w:t>
      </w:r>
      <w:r w:rsidRPr="00893288">
        <w:rPr>
          <w:color w:val="000000" w:themeColor="text1"/>
        </w:rPr>
        <w:t xml:space="preserve">:  </w:t>
      </w:r>
      <w:r w:rsidR="00D65135" w:rsidRPr="00893288">
        <w:rPr>
          <w:color w:val="000000" w:themeColor="text1"/>
        </w:rPr>
        <w:t xml:space="preserve"> </w:t>
      </w:r>
    </w:p>
    <w:p w14:paraId="379D1DD3" w14:textId="77777777" w:rsidR="007E5CA9" w:rsidRPr="00893288" w:rsidRDefault="007E5CA9" w:rsidP="006A57EA">
      <w:pPr>
        <w:spacing w:after="0" w:line="240" w:lineRule="auto"/>
        <w:rPr>
          <w:color w:val="000000" w:themeColor="text1"/>
        </w:rPr>
      </w:pPr>
    </w:p>
    <w:p w14:paraId="04EFFB20" w14:textId="432B1FED" w:rsidR="00FA4ED7" w:rsidRPr="00893288" w:rsidRDefault="00FA37D1" w:rsidP="00FA4ED7">
      <w:pPr>
        <w:pStyle w:val="ListParagraph"/>
        <w:numPr>
          <w:ilvl w:val="0"/>
          <w:numId w:val="30"/>
        </w:numPr>
        <w:spacing w:after="0" w:line="240" w:lineRule="auto"/>
        <w:rPr>
          <w:rFonts w:cstheme="minorHAnsi"/>
          <w:color w:val="000000" w:themeColor="text1"/>
        </w:rPr>
      </w:pPr>
      <w:r w:rsidRPr="00893288">
        <w:rPr>
          <w:rFonts w:cstheme="minorHAnsi"/>
          <w:color w:val="000000" w:themeColor="text1"/>
        </w:rPr>
        <w:t xml:space="preserve">Amend/ strengthen legislation </w:t>
      </w:r>
      <w:r w:rsidR="00FA4ED7" w:rsidRPr="00893288">
        <w:rPr>
          <w:rFonts w:cstheme="minorHAnsi"/>
          <w:color w:val="000000" w:themeColor="text1"/>
        </w:rPr>
        <w:t>to ensure all the projects, plans or programmes with potentially significant transboundary impacts are subject to environmental assessments</w:t>
      </w:r>
      <w:r w:rsidR="00151D0C" w:rsidRPr="00893288">
        <w:rPr>
          <w:rFonts w:cstheme="minorHAnsi"/>
          <w:color w:val="000000" w:themeColor="text1"/>
        </w:rPr>
        <w:t xml:space="preserve"> that include </w:t>
      </w:r>
      <w:r w:rsidR="00F92E1B" w:rsidRPr="00893288">
        <w:rPr>
          <w:rFonts w:cstheme="minorHAnsi"/>
          <w:color w:val="000000" w:themeColor="text1"/>
        </w:rPr>
        <w:t xml:space="preserve">notification, exchange of information and consultations among concerned countries; </w:t>
      </w:r>
      <w:r w:rsidR="00151D0C" w:rsidRPr="00893288">
        <w:rPr>
          <w:rFonts w:cstheme="minorHAnsi"/>
          <w:color w:val="000000" w:themeColor="text1"/>
        </w:rPr>
        <w:t xml:space="preserve">the Contracting Parties that do not have requirements on transboundary EIAs and/ or SEAs should develop appropriate </w:t>
      </w:r>
      <w:r w:rsidRPr="00893288">
        <w:rPr>
          <w:rFonts w:cstheme="minorHAnsi"/>
          <w:color w:val="000000" w:themeColor="text1"/>
        </w:rPr>
        <w:t>legal frameworks i</w:t>
      </w:r>
      <w:r w:rsidR="00151D0C" w:rsidRPr="00893288">
        <w:rPr>
          <w:rFonts w:cstheme="minorHAnsi"/>
          <w:color w:val="000000" w:themeColor="text1"/>
        </w:rPr>
        <w:t xml:space="preserve">n line with the Espoo Convention and Kiev Protocol.   </w:t>
      </w:r>
    </w:p>
    <w:p w14:paraId="3432558D" w14:textId="5C5B7A2B" w:rsidR="008D6309" w:rsidRPr="00893288" w:rsidRDefault="00FA37D1" w:rsidP="002C29C5">
      <w:pPr>
        <w:pStyle w:val="ListParagraph"/>
        <w:numPr>
          <w:ilvl w:val="0"/>
          <w:numId w:val="30"/>
        </w:numPr>
        <w:spacing w:after="0" w:line="240" w:lineRule="auto"/>
        <w:rPr>
          <w:color w:val="000000" w:themeColor="text1"/>
        </w:rPr>
      </w:pPr>
      <w:r w:rsidRPr="00893288">
        <w:rPr>
          <w:color w:val="000000" w:themeColor="text1"/>
        </w:rPr>
        <w:t>Assist the countries with development of legal frameworks for SEA; promote t</w:t>
      </w:r>
      <w:r w:rsidR="00151D0C" w:rsidRPr="00893288">
        <w:rPr>
          <w:color w:val="000000" w:themeColor="text1"/>
        </w:rPr>
        <w:t>ransboundary procedures</w:t>
      </w:r>
      <w:r w:rsidRPr="00893288">
        <w:rPr>
          <w:color w:val="000000" w:themeColor="text1"/>
        </w:rPr>
        <w:t xml:space="preserve"> </w:t>
      </w:r>
      <w:r w:rsidR="008D6309" w:rsidRPr="00893288">
        <w:rPr>
          <w:color w:val="000000" w:themeColor="text1"/>
        </w:rPr>
        <w:t xml:space="preserve">on a voluntary basis meanwhile </w:t>
      </w:r>
      <w:r w:rsidRPr="00893288">
        <w:rPr>
          <w:color w:val="000000" w:themeColor="text1"/>
        </w:rPr>
        <w:t xml:space="preserve">appropriate </w:t>
      </w:r>
      <w:r w:rsidR="008D6309" w:rsidRPr="00893288">
        <w:rPr>
          <w:color w:val="000000" w:themeColor="text1"/>
        </w:rPr>
        <w:t>legal framework</w:t>
      </w:r>
      <w:r w:rsidRPr="00893288">
        <w:rPr>
          <w:color w:val="000000" w:themeColor="text1"/>
        </w:rPr>
        <w:t>s</w:t>
      </w:r>
      <w:r w:rsidR="008D6309" w:rsidRPr="00893288">
        <w:rPr>
          <w:color w:val="000000" w:themeColor="text1"/>
        </w:rPr>
        <w:t xml:space="preserve"> </w:t>
      </w:r>
      <w:r w:rsidRPr="00893288">
        <w:rPr>
          <w:color w:val="000000" w:themeColor="text1"/>
        </w:rPr>
        <w:t xml:space="preserve">are </w:t>
      </w:r>
      <w:r w:rsidR="008D6309" w:rsidRPr="00893288">
        <w:rPr>
          <w:color w:val="000000" w:themeColor="text1"/>
        </w:rPr>
        <w:t>in place</w:t>
      </w:r>
      <w:r w:rsidRPr="00893288">
        <w:rPr>
          <w:color w:val="000000" w:themeColor="text1"/>
        </w:rPr>
        <w:t xml:space="preserve"> in all the Contracting Parties. </w:t>
      </w:r>
      <w:r w:rsidR="008D6309" w:rsidRPr="00893288">
        <w:rPr>
          <w:color w:val="000000" w:themeColor="text1"/>
        </w:rPr>
        <w:t xml:space="preserve"> </w:t>
      </w:r>
    </w:p>
    <w:p w14:paraId="111A418C" w14:textId="64270702" w:rsidR="00CE0B1F" w:rsidRPr="00893288" w:rsidRDefault="003F513C" w:rsidP="00FA4ED7">
      <w:pPr>
        <w:pStyle w:val="ListParagraph"/>
        <w:numPr>
          <w:ilvl w:val="0"/>
          <w:numId w:val="30"/>
        </w:numPr>
        <w:spacing w:after="0" w:line="240" w:lineRule="auto"/>
        <w:rPr>
          <w:rFonts w:cstheme="minorHAnsi"/>
          <w:color w:val="000000" w:themeColor="text1"/>
        </w:rPr>
      </w:pPr>
      <w:r w:rsidRPr="00893288">
        <w:rPr>
          <w:color w:val="000000" w:themeColor="text1"/>
        </w:rPr>
        <w:t xml:space="preserve">Promote </w:t>
      </w:r>
      <w:r w:rsidR="00F5258A" w:rsidRPr="00893288">
        <w:rPr>
          <w:rFonts w:cstheme="minorHAnsi"/>
          <w:color w:val="000000" w:themeColor="text1"/>
        </w:rPr>
        <w:t xml:space="preserve">ratification of </w:t>
      </w:r>
      <w:r w:rsidR="00FA37D1" w:rsidRPr="00893288">
        <w:rPr>
          <w:rFonts w:cstheme="minorHAnsi"/>
          <w:color w:val="000000" w:themeColor="text1"/>
        </w:rPr>
        <w:t xml:space="preserve">the </w:t>
      </w:r>
      <w:r w:rsidR="00F5258A" w:rsidRPr="00893288">
        <w:rPr>
          <w:rFonts w:cstheme="minorHAnsi"/>
          <w:color w:val="000000" w:themeColor="text1"/>
        </w:rPr>
        <w:t>ICZM Protocol</w:t>
      </w:r>
      <w:r w:rsidR="00FA37D1" w:rsidRPr="00893288">
        <w:rPr>
          <w:rFonts w:cstheme="minorHAnsi"/>
          <w:color w:val="000000" w:themeColor="text1"/>
        </w:rPr>
        <w:t xml:space="preserve">. </w:t>
      </w:r>
    </w:p>
    <w:p w14:paraId="4F87064B" w14:textId="37E2CEF0" w:rsidR="00CE0B1F" w:rsidRPr="00893288" w:rsidRDefault="00151D0C" w:rsidP="00BC68A2">
      <w:pPr>
        <w:pStyle w:val="ListParagraph"/>
        <w:numPr>
          <w:ilvl w:val="0"/>
          <w:numId w:val="30"/>
        </w:numPr>
        <w:spacing w:after="0" w:line="240" w:lineRule="auto"/>
        <w:rPr>
          <w:rFonts w:cstheme="minorHAnsi"/>
          <w:color w:val="000000" w:themeColor="text1"/>
        </w:rPr>
      </w:pPr>
      <w:r w:rsidRPr="00893288">
        <w:rPr>
          <w:rFonts w:cstheme="minorHAnsi"/>
          <w:color w:val="000000" w:themeColor="text1"/>
        </w:rPr>
        <w:t>Strengthen capacities for the implementation of transboundary environmental assessments, in particular as regards addressi</w:t>
      </w:r>
      <w:r w:rsidR="00FA37D1" w:rsidRPr="00893288">
        <w:rPr>
          <w:rFonts w:cstheme="minorHAnsi"/>
          <w:color w:val="000000" w:themeColor="text1"/>
        </w:rPr>
        <w:t xml:space="preserve">ng coastal zone </w:t>
      </w:r>
      <w:r w:rsidR="00F92E1B" w:rsidRPr="00893288">
        <w:rPr>
          <w:rFonts w:cstheme="minorHAnsi"/>
          <w:color w:val="000000" w:themeColor="text1"/>
        </w:rPr>
        <w:t xml:space="preserve">specificities; </w:t>
      </w:r>
      <w:r w:rsidR="00FA37D1" w:rsidRPr="00893288">
        <w:rPr>
          <w:rFonts w:cstheme="minorHAnsi"/>
          <w:color w:val="000000" w:themeColor="text1"/>
        </w:rPr>
        <w:t>e</w:t>
      </w:r>
      <w:r w:rsidR="00CE0B1F" w:rsidRPr="00893288">
        <w:rPr>
          <w:rFonts w:cstheme="minorHAnsi"/>
          <w:color w:val="000000" w:themeColor="text1"/>
        </w:rPr>
        <w:t xml:space="preserve">nhance capacity building efforts within </w:t>
      </w:r>
      <w:r w:rsidR="004B08EC" w:rsidRPr="00893288">
        <w:rPr>
          <w:rFonts w:cstheme="minorHAnsi"/>
          <w:color w:val="000000" w:themeColor="text1"/>
        </w:rPr>
        <w:t xml:space="preserve">Barcelona </w:t>
      </w:r>
      <w:r w:rsidR="00CE0B1F" w:rsidRPr="00893288">
        <w:rPr>
          <w:rFonts w:cstheme="minorHAnsi"/>
          <w:color w:val="000000" w:themeColor="text1"/>
        </w:rPr>
        <w:t>Convention system (</w:t>
      </w:r>
      <w:r w:rsidR="00F92E1B" w:rsidRPr="00893288">
        <w:rPr>
          <w:rFonts w:cstheme="minorHAnsi"/>
          <w:color w:val="000000" w:themeColor="text1"/>
        </w:rPr>
        <w:t xml:space="preserve">possibly </w:t>
      </w:r>
      <w:r w:rsidR="00995844" w:rsidRPr="00893288">
        <w:rPr>
          <w:rFonts w:cstheme="minorHAnsi"/>
          <w:color w:val="000000" w:themeColor="text1"/>
        </w:rPr>
        <w:t>to focus on</w:t>
      </w:r>
      <w:r w:rsidR="00F92E1B" w:rsidRPr="00893288">
        <w:rPr>
          <w:rFonts w:cstheme="minorHAnsi"/>
          <w:color w:val="000000" w:themeColor="text1"/>
        </w:rPr>
        <w:t>: harmonisation of procedures and assessment methods taking into account coastal zone sensitivity, carrying capacity</w:t>
      </w:r>
      <w:r w:rsidR="00995844" w:rsidRPr="00893288">
        <w:rPr>
          <w:rFonts w:cstheme="minorHAnsi"/>
          <w:color w:val="000000" w:themeColor="text1"/>
        </w:rPr>
        <w:t xml:space="preserve">, </w:t>
      </w:r>
      <w:r w:rsidR="00F92E1B" w:rsidRPr="00893288">
        <w:rPr>
          <w:rFonts w:cstheme="minorHAnsi"/>
          <w:color w:val="000000" w:themeColor="text1"/>
        </w:rPr>
        <w:t>vulnerability to climate change</w:t>
      </w:r>
      <w:r w:rsidR="00995844" w:rsidRPr="00893288">
        <w:rPr>
          <w:rFonts w:cstheme="minorHAnsi"/>
          <w:color w:val="000000" w:themeColor="text1"/>
        </w:rPr>
        <w:t xml:space="preserve"> and land-sea interactions</w:t>
      </w:r>
      <w:r w:rsidR="00F92E1B" w:rsidRPr="00893288">
        <w:rPr>
          <w:rFonts w:cstheme="minorHAnsi"/>
          <w:color w:val="000000" w:themeColor="text1"/>
        </w:rPr>
        <w:t xml:space="preserve">; </w:t>
      </w:r>
      <w:r w:rsidR="00CE0B1F" w:rsidRPr="00893288">
        <w:rPr>
          <w:rFonts w:cstheme="minorHAnsi"/>
          <w:color w:val="000000" w:themeColor="text1"/>
        </w:rPr>
        <w:t xml:space="preserve">development of </w:t>
      </w:r>
      <w:r w:rsidR="004B08EC" w:rsidRPr="00893288">
        <w:rPr>
          <w:rFonts w:cstheme="minorHAnsi"/>
          <w:color w:val="000000" w:themeColor="text1"/>
        </w:rPr>
        <w:t xml:space="preserve">criteria on </w:t>
      </w:r>
      <w:r w:rsidR="00CE0B1F" w:rsidRPr="00893288">
        <w:rPr>
          <w:rFonts w:cstheme="minorHAnsi"/>
          <w:color w:val="000000" w:themeColor="text1"/>
        </w:rPr>
        <w:t>significance</w:t>
      </w:r>
      <w:r w:rsidR="004B08EC" w:rsidRPr="00893288">
        <w:rPr>
          <w:rFonts w:cstheme="minorHAnsi"/>
          <w:color w:val="000000" w:themeColor="text1"/>
        </w:rPr>
        <w:t xml:space="preserve"> of </w:t>
      </w:r>
      <w:r w:rsidR="00CE0B1F" w:rsidRPr="00893288">
        <w:rPr>
          <w:rFonts w:cstheme="minorHAnsi"/>
          <w:color w:val="000000" w:themeColor="text1"/>
        </w:rPr>
        <w:t>transboundary</w:t>
      </w:r>
      <w:r w:rsidR="004B08EC" w:rsidRPr="00893288">
        <w:rPr>
          <w:rFonts w:cstheme="minorHAnsi"/>
          <w:color w:val="000000" w:themeColor="text1"/>
        </w:rPr>
        <w:t xml:space="preserve"> </w:t>
      </w:r>
      <w:r w:rsidR="00CE0B1F" w:rsidRPr="00893288">
        <w:rPr>
          <w:rFonts w:cstheme="minorHAnsi"/>
          <w:color w:val="000000" w:themeColor="text1"/>
        </w:rPr>
        <w:t xml:space="preserve">impacts </w:t>
      </w:r>
      <w:r w:rsidR="00995844" w:rsidRPr="00893288">
        <w:rPr>
          <w:rFonts w:cstheme="minorHAnsi"/>
          <w:color w:val="000000" w:themeColor="text1"/>
        </w:rPr>
        <w:t xml:space="preserve">with a view to </w:t>
      </w:r>
      <w:r w:rsidR="00F92E1B" w:rsidRPr="00893288">
        <w:rPr>
          <w:rFonts w:cstheme="minorHAnsi"/>
          <w:color w:val="000000" w:themeColor="text1"/>
        </w:rPr>
        <w:t>GES</w:t>
      </w:r>
      <w:r w:rsidR="00995844" w:rsidRPr="00893288">
        <w:rPr>
          <w:rFonts w:cstheme="minorHAnsi"/>
          <w:color w:val="000000" w:themeColor="text1"/>
        </w:rPr>
        <w:t xml:space="preserve">/ ecological objectives; development of joint monitoring programmes). </w:t>
      </w:r>
      <w:r w:rsidR="004B08EC" w:rsidRPr="00893288">
        <w:rPr>
          <w:rFonts w:cstheme="minorHAnsi"/>
          <w:color w:val="000000" w:themeColor="text1"/>
        </w:rPr>
        <w:t xml:space="preserve"> </w:t>
      </w:r>
    </w:p>
    <w:p w14:paraId="31408ADF" w14:textId="548D2EC3" w:rsidR="00995844" w:rsidRPr="00893288" w:rsidRDefault="00995844" w:rsidP="00BC68A2">
      <w:pPr>
        <w:pStyle w:val="ListParagraph"/>
        <w:numPr>
          <w:ilvl w:val="0"/>
          <w:numId w:val="30"/>
        </w:numPr>
        <w:spacing w:after="0" w:line="240" w:lineRule="auto"/>
        <w:rPr>
          <w:rFonts w:cstheme="minorHAnsi"/>
          <w:color w:val="000000" w:themeColor="text1"/>
        </w:rPr>
      </w:pPr>
      <w:r w:rsidRPr="00893288">
        <w:rPr>
          <w:rFonts w:cstheme="minorHAnsi"/>
          <w:color w:val="000000" w:themeColor="text1"/>
        </w:rPr>
        <w:t>Encourage the use of the existing and emerging guidelines (developed through relevant initiatives within the Barcelona Convention system</w:t>
      </w:r>
      <w:r w:rsidR="00BA626A" w:rsidRPr="00893288">
        <w:rPr>
          <w:rFonts w:cstheme="minorHAnsi"/>
          <w:color w:val="000000" w:themeColor="text1"/>
        </w:rPr>
        <w:t xml:space="preserve"> and </w:t>
      </w:r>
      <w:r w:rsidRPr="00893288">
        <w:rPr>
          <w:rFonts w:cstheme="minorHAnsi"/>
          <w:color w:val="000000" w:themeColor="text1"/>
        </w:rPr>
        <w:t>the EU</w:t>
      </w:r>
      <w:r w:rsidR="00BA626A" w:rsidRPr="00893288">
        <w:rPr>
          <w:rFonts w:cstheme="minorHAnsi"/>
          <w:color w:val="000000" w:themeColor="text1"/>
        </w:rPr>
        <w:t xml:space="preserve">) that can help EIA and SEA practitioners address coastal and marine environment specificities in transboundary assessments adequately. </w:t>
      </w:r>
    </w:p>
    <w:p w14:paraId="24CCE880" w14:textId="2987CB66" w:rsidR="00BA626A" w:rsidRPr="00893288" w:rsidRDefault="00167339" w:rsidP="00BC68A2">
      <w:pPr>
        <w:pStyle w:val="ListParagraph"/>
        <w:numPr>
          <w:ilvl w:val="0"/>
          <w:numId w:val="30"/>
        </w:numPr>
        <w:spacing w:after="0" w:line="240" w:lineRule="auto"/>
        <w:rPr>
          <w:rFonts w:cstheme="minorHAnsi"/>
          <w:color w:val="000000" w:themeColor="text1"/>
        </w:rPr>
      </w:pPr>
      <w:r w:rsidRPr="00893288">
        <w:rPr>
          <w:rFonts w:cstheme="minorHAnsi"/>
          <w:color w:val="000000" w:themeColor="text1"/>
        </w:rPr>
        <w:t>Promote good practices in the Mediterranean and transfer of experiences through the development of a network of practitioners; f</w:t>
      </w:r>
      <w:r w:rsidR="00BA626A" w:rsidRPr="00893288">
        <w:rPr>
          <w:rFonts w:cstheme="minorHAnsi"/>
          <w:color w:val="000000" w:themeColor="text1"/>
        </w:rPr>
        <w:t xml:space="preserve">acilitate exchange of information and experiences through the </w:t>
      </w:r>
      <w:r w:rsidR="00BA626A" w:rsidRPr="00893288">
        <w:rPr>
          <w:color w:val="000000" w:themeColor="text1"/>
        </w:rPr>
        <w:t>Barcelona Convention website/ in the MAP Info-system.</w:t>
      </w:r>
    </w:p>
    <w:p w14:paraId="318942C5" w14:textId="77777777" w:rsidR="00BA626A" w:rsidRPr="00893288" w:rsidRDefault="00FA37D1" w:rsidP="00BA626A">
      <w:pPr>
        <w:pStyle w:val="ListParagraph"/>
        <w:numPr>
          <w:ilvl w:val="0"/>
          <w:numId w:val="30"/>
        </w:numPr>
        <w:spacing w:after="0" w:line="240" w:lineRule="auto"/>
        <w:rPr>
          <w:rFonts w:cstheme="minorHAnsi"/>
          <w:color w:val="000000" w:themeColor="text1"/>
        </w:rPr>
      </w:pPr>
      <w:r w:rsidRPr="00893288">
        <w:rPr>
          <w:rFonts w:cstheme="minorHAnsi"/>
          <w:color w:val="000000" w:themeColor="text1"/>
        </w:rPr>
        <w:t xml:space="preserve">Promote </w:t>
      </w:r>
      <w:r w:rsidR="00995844" w:rsidRPr="00893288">
        <w:rPr>
          <w:rFonts w:cstheme="minorHAnsi"/>
          <w:color w:val="000000" w:themeColor="text1"/>
        </w:rPr>
        <w:t xml:space="preserve">application </w:t>
      </w:r>
      <w:r w:rsidRPr="00893288">
        <w:rPr>
          <w:rFonts w:cstheme="minorHAnsi"/>
          <w:color w:val="000000" w:themeColor="text1"/>
        </w:rPr>
        <w:t xml:space="preserve">of </w:t>
      </w:r>
      <w:r w:rsidR="00995844" w:rsidRPr="00893288">
        <w:rPr>
          <w:rFonts w:cstheme="minorHAnsi"/>
          <w:color w:val="000000" w:themeColor="text1"/>
        </w:rPr>
        <w:t xml:space="preserve">the </w:t>
      </w:r>
      <w:r w:rsidRPr="00893288">
        <w:rPr>
          <w:rFonts w:cstheme="minorHAnsi"/>
          <w:color w:val="000000" w:themeColor="text1"/>
        </w:rPr>
        <w:t xml:space="preserve">UNECE </w:t>
      </w:r>
      <w:r w:rsidR="00995844" w:rsidRPr="00893288">
        <w:rPr>
          <w:rFonts w:cstheme="minorHAnsi"/>
          <w:color w:val="000000" w:themeColor="text1"/>
        </w:rPr>
        <w:t xml:space="preserve">agreements </w:t>
      </w:r>
      <w:r w:rsidRPr="00893288">
        <w:rPr>
          <w:rFonts w:cstheme="minorHAnsi"/>
          <w:color w:val="000000" w:themeColor="text1"/>
        </w:rPr>
        <w:t>and tap capacity building opportunities offered through UNECE</w:t>
      </w:r>
      <w:r w:rsidR="00995844" w:rsidRPr="00893288">
        <w:rPr>
          <w:rFonts w:cstheme="minorHAnsi"/>
          <w:color w:val="000000" w:themeColor="text1"/>
        </w:rPr>
        <w:t xml:space="preserve">. </w:t>
      </w:r>
    </w:p>
    <w:p w14:paraId="5BB9A48E" w14:textId="4002792C" w:rsidR="00F27150" w:rsidRPr="00893288" w:rsidRDefault="00BA626A" w:rsidP="00BA626A">
      <w:pPr>
        <w:pStyle w:val="ListParagraph"/>
        <w:numPr>
          <w:ilvl w:val="0"/>
          <w:numId w:val="30"/>
        </w:numPr>
        <w:spacing w:after="0" w:line="240" w:lineRule="auto"/>
        <w:rPr>
          <w:rFonts w:cstheme="minorHAnsi"/>
          <w:color w:val="000000" w:themeColor="text1"/>
        </w:rPr>
      </w:pPr>
      <w:r w:rsidRPr="00893288">
        <w:rPr>
          <w:color w:val="000000" w:themeColor="text1"/>
        </w:rPr>
        <w:t>W</w:t>
      </w:r>
      <w:r w:rsidR="00F27150" w:rsidRPr="00893288">
        <w:rPr>
          <w:color w:val="000000" w:themeColor="text1"/>
        </w:rPr>
        <w:t>ith the assistance of the UN Environment/ MAP, further considerations among the BC Contracting Parties are needed to elaborate procedures for the assessment of plans and activities that could have an impact on the</w:t>
      </w:r>
      <w:r w:rsidRPr="00893288">
        <w:rPr>
          <w:color w:val="000000" w:themeColor="text1"/>
        </w:rPr>
        <w:t xml:space="preserve"> areas beyond national jurisdictions </w:t>
      </w:r>
      <w:r w:rsidR="00F27150" w:rsidRPr="00893288">
        <w:rPr>
          <w:color w:val="000000" w:themeColor="text1"/>
        </w:rPr>
        <w:t>in view of the commitments already taken under the Convention.</w:t>
      </w:r>
    </w:p>
    <w:p w14:paraId="0A095B6B" w14:textId="2F5E24C0" w:rsidR="00CE0B1F" w:rsidRPr="00893288" w:rsidRDefault="00167339" w:rsidP="00FA4ED7">
      <w:pPr>
        <w:pStyle w:val="ListParagraph"/>
        <w:numPr>
          <w:ilvl w:val="0"/>
          <w:numId w:val="30"/>
        </w:numPr>
        <w:spacing w:after="0" w:line="240" w:lineRule="auto"/>
        <w:rPr>
          <w:rFonts w:cstheme="minorHAnsi"/>
          <w:color w:val="000000" w:themeColor="text1"/>
        </w:rPr>
      </w:pPr>
      <w:r w:rsidRPr="00893288">
        <w:rPr>
          <w:rFonts w:cstheme="minorHAnsi"/>
          <w:color w:val="000000" w:themeColor="text1"/>
        </w:rPr>
        <w:t>Promote the u</w:t>
      </w:r>
      <w:r w:rsidR="004B08EC" w:rsidRPr="00893288">
        <w:rPr>
          <w:rFonts w:cstheme="minorHAnsi"/>
          <w:color w:val="000000" w:themeColor="text1"/>
        </w:rPr>
        <w:t xml:space="preserve">se </w:t>
      </w:r>
      <w:r w:rsidRPr="00893288">
        <w:rPr>
          <w:rFonts w:cstheme="minorHAnsi"/>
          <w:color w:val="000000" w:themeColor="text1"/>
        </w:rPr>
        <w:t xml:space="preserve">of bilateral and/ or multilateral agreements to enhance effectiveness of transboundary environmental assessments.  </w:t>
      </w:r>
      <w:r w:rsidR="004B08EC" w:rsidRPr="00893288">
        <w:rPr>
          <w:rFonts w:cstheme="minorHAnsi"/>
          <w:color w:val="000000" w:themeColor="text1"/>
        </w:rPr>
        <w:t xml:space="preserve"> </w:t>
      </w:r>
    </w:p>
    <w:p w14:paraId="2163668D" w14:textId="5C40997F" w:rsidR="00167339" w:rsidRPr="00893288" w:rsidRDefault="00167339" w:rsidP="00167339">
      <w:pPr>
        <w:pStyle w:val="ListParagraph"/>
        <w:numPr>
          <w:ilvl w:val="0"/>
          <w:numId w:val="30"/>
        </w:numPr>
        <w:spacing w:after="0" w:line="240" w:lineRule="auto"/>
        <w:rPr>
          <w:rFonts w:cstheme="minorHAnsi"/>
          <w:color w:val="000000" w:themeColor="text1"/>
        </w:rPr>
      </w:pPr>
      <w:r w:rsidRPr="00893288">
        <w:rPr>
          <w:color w:val="000000" w:themeColor="text1"/>
        </w:rPr>
        <w:t xml:space="preserve">Strengthen the Compliance Committee’s functions to ensure that the Convention’s/ Protocol’s provisions on transboundary environmental assessments are implemented.  </w:t>
      </w:r>
    </w:p>
    <w:p w14:paraId="667E4C90" w14:textId="087890FA" w:rsidR="00F5258A" w:rsidRPr="00893288" w:rsidRDefault="00CE0B1F" w:rsidP="00FA4ED7">
      <w:pPr>
        <w:pStyle w:val="ListParagraph"/>
        <w:numPr>
          <w:ilvl w:val="0"/>
          <w:numId w:val="30"/>
        </w:numPr>
        <w:spacing w:after="0" w:line="240" w:lineRule="auto"/>
        <w:rPr>
          <w:rFonts w:cstheme="minorHAnsi"/>
          <w:color w:val="000000" w:themeColor="text1"/>
        </w:rPr>
      </w:pPr>
      <w:r w:rsidRPr="00893288">
        <w:rPr>
          <w:rFonts w:cstheme="minorHAnsi"/>
          <w:color w:val="000000" w:themeColor="text1"/>
        </w:rPr>
        <w:t>Conduct p</w:t>
      </w:r>
      <w:r w:rsidR="00F5258A" w:rsidRPr="00893288">
        <w:rPr>
          <w:rFonts w:cstheme="minorHAnsi"/>
          <w:color w:val="000000" w:themeColor="text1"/>
        </w:rPr>
        <w:t xml:space="preserve">eriodic </w:t>
      </w:r>
      <w:r w:rsidRPr="00893288">
        <w:rPr>
          <w:rFonts w:cstheme="minorHAnsi"/>
          <w:color w:val="000000" w:themeColor="text1"/>
        </w:rPr>
        <w:t>a</w:t>
      </w:r>
      <w:r w:rsidR="00F5258A" w:rsidRPr="00893288">
        <w:rPr>
          <w:rFonts w:cstheme="minorHAnsi"/>
          <w:color w:val="000000" w:themeColor="text1"/>
        </w:rPr>
        <w:t xml:space="preserve">ssessments on the implementation of </w:t>
      </w:r>
      <w:r w:rsidRPr="00893288">
        <w:rPr>
          <w:rFonts w:cstheme="minorHAnsi"/>
          <w:color w:val="000000" w:themeColor="text1"/>
        </w:rPr>
        <w:t>the Barcelona Convention</w:t>
      </w:r>
      <w:r w:rsidR="00BA626A" w:rsidRPr="00893288">
        <w:rPr>
          <w:rFonts w:cstheme="minorHAnsi"/>
          <w:color w:val="000000" w:themeColor="text1"/>
        </w:rPr>
        <w:t xml:space="preserve"> and ICZM Protocol </w:t>
      </w:r>
      <w:r w:rsidR="00F5258A" w:rsidRPr="00893288">
        <w:rPr>
          <w:rFonts w:cstheme="minorHAnsi"/>
          <w:color w:val="000000" w:themeColor="text1"/>
        </w:rPr>
        <w:t>provisions on transboundary assessment</w:t>
      </w:r>
      <w:r w:rsidR="00167339" w:rsidRPr="00893288">
        <w:rPr>
          <w:rFonts w:cstheme="minorHAnsi"/>
          <w:color w:val="000000" w:themeColor="text1"/>
        </w:rPr>
        <w:t xml:space="preserve">s; results of the assessments should be used to flag areas where development of further/ targeted </w:t>
      </w:r>
      <w:r w:rsidR="00893288" w:rsidRPr="00893288">
        <w:rPr>
          <w:rFonts w:cstheme="minorHAnsi"/>
          <w:color w:val="000000" w:themeColor="text1"/>
        </w:rPr>
        <w:t xml:space="preserve">guidance </w:t>
      </w:r>
      <w:r w:rsidR="00167339" w:rsidRPr="00893288">
        <w:rPr>
          <w:rFonts w:cstheme="minorHAnsi"/>
          <w:color w:val="000000" w:themeColor="text1"/>
        </w:rPr>
        <w:t xml:space="preserve">would be necessary. </w:t>
      </w:r>
    </w:p>
    <w:p w14:paraId="164C2175" w14:textId="77777777" w:rsidR="004B08EC" w:rsidRDefault="004B08EC" w:rsidP="00B61126">
      <w:pPr>
        <w:ind w:left="360"/>
        <w:rPr>
          <w:rFonts w:cstheme="minorHAnsi"/>
          <w:i/>
        </w:rPr>
      </w:pPr>
    </w:p>
    <w:p w14:paraId="47FFEB66" w14:textId="77777777" w:rsidR="00FB0C83" w:rsidRPr="003A3D50" w:rsidRDefault="00FB0C83" w:rsidP="00FB0C83">
      <w:pPr>
        <w:spacing w:after="0" w:line="240" w:lineRule="auto"/>
        <w:rPr>
          <w:rFonts w:cstheme="minorHAnsi"/>
          <w:color w:val="FF0000"/>
        </w:rPr>
      </w:pPr>
    </w:p>
    <w:p w14:paraId="01AC43A0" w14:textId="77777777" w:rsidR="00A644AF" w:rsidRDefault="00A644AF">
      <w:pPr>
        <w:rPr>
          <w:rFonts w:cstheme="minorHAnsi"/>
          <w:i/>
        </w:rPr>
      </w:pPr>
      <w:r>
        <w:rPr>
          <w:rFonts w:cstheme="minorHAnsi"/>
          <w:i/>
        </w:rPr>
        <w:br w:type="page"/>
      </w:r>
    </w:p>
    <w:p w14:paraId="48AAF47E" w14:textId="77777777" w:rsidR="00C87750" w:rsidRDefault="00C87750" w:rsidP="00A644AF">
      <w:pPr>
        <w:pStyle w:val="Heading1"/>
        <w:numPr>
          <w:ilvl w:val="0"/>
          <w:numId w:val="0"/>
        </w:numPr>
        <w:ind w:left="432"/>
        <w:sectPr w:rsidR="00C87750" w:rsidSect="00B917DF">
          <w:pgSz w:w="11906" w:h="16838"/>
          <w:pgMar w:top="1418" w:right="1418" w:bottom="1418" w:left="1418" w:header="709" w:footer="709" w:gutter="0"/>
          <w:cols w:space="708"/>
          <w:docGrid w:linePitch="360"/>
        </w:sectPr>
      </w:pPr>
    </w:p>
    <w:p w14:paraId="6172556C" w14:textId="77777777" w:rsidR="00A644AF" w:rsidRDefault="00A644AF" w:rsidP="00A644AF">
      <w:pPr>
        <w:pStyle w:val="Heading1"/>
        <w:numPr>
          <w:ilvl w:val="0"/>
          <w:numId w:val="0"/>
        </w:numPr>
        <w:ind w:left="432"/>
      </w:pPr>
      <w:bookmarkStart w:id="16" w:name="_Toc5308786"/>
      <w:r w:rsidRPr="00A644AF">
        <w:lastRenderedPageBreak/>
        <w:t>Annex 1</w:t>
      </w:r>
      <w:r w:rsidR="000229F0">
        <w:t>: Overview of UNECE and EU provisions on environmental assessments in a transboundary context</w:t>
      </w:r>
      <w:bookmarkEnd w:id="16"/>
      <w:r w:rsidR="000229F0">
        <w:t xml:space="preserve"> </w:t>
      </w:r>
    </w:p>
    <w:p w14:paraId="7A44044C" w14:textId="77777777" w:rsidR="00E72412" w:rsidRDefault="00E72412" w:rsidP="00A644AF">
      <w:pPr>
        <w:spacing w:after="0" w:line="240" w:lineRule="auto"/>
        <w:rPr>
          <w:i/>
          <w:color w:val="1F4E79" w:themeColor="accent1" w:themeShade="80"/>
          <w:sz w:val="20"/>
          <w:szCs w:val="20"/>
        </w:rPr>
      </w:pPr>
    </w:p>
    <w:p w14:paraId="1E65BF50" w14:textId="77777777" w:rsidR="00A644AF" w:rsidRPr="00EA70E4" w:rsidRDefault="00A644AF" w:rsidP="00A644AF">
      <w:pPr>
        <w:spacing w:after="0" w:line="240" w:lineRule="auto"/>
        <w:rPr>
          <w:i/>
          <w:color w:val="1F4E79" w:themeColor="accent1" w:themeShade="80"/>
          <w:sz w:val="20"/>
          <w:szCs w:val="20"/>
        </w:rPr>
      </w:pPr>
      <w:r w:rsidRPr="00EA70E4">
        <w:rPr>
          <w:i/>
          <w:color w:val="1F4E79" w:themeColor="accent1" w:themeShade="80"/>
          <w:sz w:val="20"/>
          <w:szCs w:val="20"/>
        </w:rPr>
        <w:t>Table</w:t>
      </w:r>
      <w:r>
        <w:rPr>
          <w:i/>
          <w:color w:val="1F4E79" w:themeColor="accent1" w:themeShade="80"/>
          <w:sz w:val="20"/>
          <w:szCs w:val="20"/>
        </w:rPr>
        <w:t xml:space="preserve"> 1</w:t>
      </w:r>
      <w:r w:rsidRPr="00EA70E4">
        <w:rPr>
          <w:i/>
          <w:color w:val="1F4E79" w:themeColor="accent1" w:themeShade="80"/>
          <w:sz w:val="20"/>
          <w:szCs w:val="20"/>
        </w:rPr>
        <w:t>: UNECE legal framework governing co-operation concerning transboundary environmental impacts</w:t>
      </w:r>
    </w:p>
    <w:tbl>
      <w:tblPr>
        <w:tblStyle w:val="TableGrid"/>
        <w:tblW w:w="0" w:type="auto"/>
        <w:tblLook w:val="04A0" w:firstRow="1" w:lastRow="0" w:firstColumn="1" w:lastColumn="0" w:noHBand="0" w:noVBand="1"/>
      </w:tblPr>
      <w:tblGrid>
        <w:gridCol w:w="1555"/>
        <w:gridCol w:w="6945"/>
        <w:gridCol w:w="4962"/>
      </w:tblGrid>
      <w:tr w:rsidR="00A644AF" w14:paraId="55DB15D9" w14:textId="77777777" w:rsidTr="004120C5">
        <w:tc>
          <w:tcPr>
            <w:tcW w:w="1555" w:type="dxa"/>
            <w:shd w:val="clear" w:color="auto" w:fill="9CC2E5" w:themeFill="accent1" w:themeFillTint="99"/>
          </w:tcPr>
          <w:p w14:paraId="40692286" w14:textId="77777777" w:rsidR="00A644AF" w:rsidRPr="002509CC" w:rsidRDefault="00A644AF" w:rsidP="004120C5">
            <w:pPr>
              <w:jc w:val="both"/>
              <w:rPr>
                <w:b/>
                <w:sz w:val="20"/>
                <w:szCs w:val="20"/>
              </w:rPr>
            </w:pPr>
            <w:r w:rsidRPr="002509CC">
              <w:rPr>
                <w:b/>
                <w:sz w:val="20"/>
                <w:szCs w:val="20"/>
              </w:rPr>
              <w:t>Key steps</w:t>
            </w:r>
          </w:p>
        </w:tc>
        <w:tc>
          <w:tcPr>
            <w:tcW w:w="6945" w:type="dxa"/>
            <w:shd w:val="clear" w:color="auto" w:fill="9CC2E5" w:themeFill="accent1" w:themeFillTint="99"/>
          </w:tcPr>
          <w:p w14:paraId="1C5E4CF1" w14:textId="77777777" w:rsidR="00A644AF" w:rsidRPr="002509CC" w:rsidRDefault="00A644AF" w:rsidP="004120C5">
            <w:pPr>
              <w:jc w:val="center"/>
              <w:rPr>
                <w:b/>
                <w:sz w:val="20"/>
                <w:szCs w:val="20"/>
              </w:rPr>
            </w:pPr>
            <w:r w:rsidRPr="002509CC">
              <w:rPr>
                <w:b/>
                <w:sz w:val="20"/>
                <w:szCs w:val="20"/>
              </w:rPr>
              <w:t>Espoo Convention</w:t>
            </w:r>
          </w:p>
        </w:tc>
        <w:tc>
          <w:tcPr>
            <w:tcW w:w="4962" w:type="dxa"/>
            <w:shd w:val="clear" w:color="auto" w:fill="9CC2E5" w:themeFill="accent1" w:themeFillTint="99"/>
          </w:tcPr>
          <w:p w14:paraId="68BA805B" w14:textId="77777777" w:rsidR="00A644AF" w:rsidRPr="002509CC" w:rsidRDefault="00A644AF" w:rsidP="004120C5">
            <w:pPr>
              <w:jc w:val="center"/>
              <w:rPr>
                <w:b/>
                <w:sz w:val="20"/>
                <w:szCs w:val="20"/>
              </w:rPr>
            </w:pPr>
            <w:r w:rsidRPr="002509CC">
              <w:rPr>
                <w:b/>
                <w:sz w:val="20"/>
                <w:szCs w:val="20"/>
              </w:rPr>
              <w:t>Kiev Protocol</w:t>
            </w:r>
          </w:p>
        </w:tc>
      </w:tr>
      <w:tr w:rsidR="00A644AF" w14:paraId="1CDE2F9E" w14:textId="77777777" w:rsidTr="004120C5">
        <w:tc>
          <w:tcPr>
            <w:tcW w:w="1555" w:type="dxa"/>
            <w:shd w:val="clear" w:color="auto" w:fill="BDD6EE" w:themeFill="accent1" w:themeFillTint="66"/>
          </w:tcPr>
          <w:p w14:paraId="50E20A29" w14:textId="77777777" w:rsidR="00A644AF" w:rsidRPr="002509CC" w:rsidRDefault="00A644AF" w:rsidP="004120C5">
            <w:pPr>
              <w:jc w:val="both"/>
              <w:rPr>
                <w:i/>
                <w:sz w:val="20"/>
                <w:szCs w:val="20"/>
              </w:rPr>
            </w:pPr>
            <w:r w:rsidRPr="002509CC">
              <w:rPr>
                <w:i/>
                <w:sz w:val="20"/>
                <w:szCs w:val="20"/>
              </w:rPr>
              <w:t>Pre-decision</w:t>
            </w:r>
          </w:p>
        </w:tc>
        <w:tc>
          <w:tcPr>
            <w:tcW w:w="11907" w:type="dxa"/>
            <w:gridSpan w:val="2"/>
            <w:shd w:val="clear" w:color="auto" w:fill="BDD6EE" w:themeFill="accent1" w:themeFillTint="66"/>
          </w:tcPr>
          <w:p w14:paraId="0AACA90E" w14:textId="77777777" w:rsidR="00A644AF" w:rsidRPr="002509CC" w:rsidRDefault="00A644AF" w:rsidP="004120C5">
            <w:pPr>
              <w:jc w:val="both"/>
              <w:rPr>
                <w:sz w:val="20"/>
                <w:szCs w:val="20"/>
              </w:rPr>
            </w:pPr>
          </w:p>
        </w:tc>
      </w:tr>
      <w:tr w:rsidR="00A644AF" w14:paraId="13CEF791" w14:textId="77777777" w:rsidTr="004120C5">
        <w:tc>
          <w:tcPr>
            <w:tcW w:w="1555" w:type="dxa"/>
          </w:tcPr>
          <w:p w14:paraId="12D5765A" w14:textId="77777777" w:rsidR="00A644AF" w:rsidRPr="002509CC" w:rsidRDefault="00A644AF" w:rsidP="004120C5">
            <w:pPr>
              <w:jc w:val="both"/>
              <w:rPr>
                <w:sz w:val="20"/>
                <w:szCs w:val="20"/>
              </w:rPr>
            </w:pPr>
            <w:r w:rsidRPr="002509CC">
              <w:rPr>
                <w:sz w:val="20"/>
                <w:szCs w:val="20"/>
              </w:rPr>
              <w:t>Notification</w:t>
            </w:r>
          </w:p>
        </w:tc>
        <w:tc>
          <w:tcPr>
            <w:tcW w:w="6945" w:type="dxa"/>
          </w:tcPr>
          <w:p w14:paraId="222A05C8" w14:textId="77777777" w:rsidR="00A644AF" w:rsidRDefault="00A644AF" w:rsidP="004120C5">
            <w:pPr>
              <w:rPr>
                <w:sz w:val="20"/>
                <w:szCs w:val="20"/>
              </w:rPr>
            </w:pPr>
            <w:r>
              <w:rPr>
                <w:sz w:val="20"/>
                <w:szCs w:val="20"/>
              </w:rPr>
              <w:t>Carried out as early as possible</w:t>
            </w:r>
          </w:p>
          <w:p w14:paraId="412C8E24" w14:textId="77777777" w:rsidR="00A644AF" w:rsidRDefault="00A644AF" w:rsidP="004120C5">
            <w:pPr>
              <w:rPr>
                <w:sz w:val="20"/>
                <w:szCs w:val="20"/>
              </w:rPr>
            </w:pPr>
          </w:p>
          <w:p w14:paraId="6555D5AA" w14:textId="77777777" w:rsidR="00A644AF" w:rsidRDefault="00A644AF" w:rsidP="004120C5">
            <w:pPr>
              <w:rPr>
                <w:sz w:val="20"/>
                <w:szCs w:val="20"/>
              </w:rPr>
            </w:pPr>
            <w:r>
              <w:rPr>
                <w:sz w:val="20"/>
                <w:szCs w:val="20"/>
              </w:rPr>
              <w:t xml:space="preserve">To contain: </w:t>
            </w:r>
          </w:p>
          <w:p w14:paraId="28F2CBC0" w14:textId="77777777" w:rsidR="00A644AF" w:rsidRPr="002509CC" w:rsidRDefault="00A644AF" w:rsidP="005028DC">
            <w:pPr>
              <w:pStyle w:val="ListParagraph"/>
              <w:numPr>
                <w:ilvl w:val="0"/>
                <w:numId w:val="10"/>
              </w:numPr>
              <w:ind w:left="317" w:hanging="284"/>
              <w:rPr>
                <w:sz w:val="20"/>
                <w:szCs w:val="20"/>
              </w:rPr>
            </w:pPr>
            <w:r w:rsidRPr="002509CC">
              <w:rPr>
                <w:sz w:val="20"/>
                <w:szCs w:val="20"/>
              </w:rPr>
              <w:t>Information on the proposed activity, including any available information on its possible transboundary impact;</w:t>
            </w:r>
          </w:p>
          <w:p w14:paraId="057F5B4C" w14:textId="77777777" w:rsidR="00A644AF" w:rsidRPr="002509CC" w:rsidRDefault="00A644AF" w:rsidP="005028DC">
            <w:pPr>
              <w:pStyle w:val="ListParagraph"/>
              <w:numPr>
                <w:ilvl w:val="0"/>
                <w:numId w:val="10"/>
              </w:numPr>
              <w:ind w:left="317" w:hanging="317"/>
              <w:rPr>
                <w:sz w:val="20"/>
                <w:szCs w:val="20"/>
              </w:rPr>
            </w:pPr>
            <w:r w:rsidRPr="002509CC">
              <w:rPr>
                <w:sz w:val="20"/>
                <w:szCs w:val="20"/>
              </w:rPr>
              <w:t xml:space="preserve">Information on the nature of the possible decision; </w:t>
            </w:r>
          </w:p>
          <w:p w14:paraId="01DE1E39" w14:textId="77777777" w:rsidR="00A644AF" w:rsidRPr="002509CC" w:rsidRDefault="00A644AF" w:rsidP="005028DC">
            <w:pPr>
              <w:pStyle w:val="ListParagraph"/>
              <w:numPr>
                <w:ilvl w:val="0"/>
                <w:numId w:val="10"/>
              </w:numPr>
              <w:ind w:left="317" w:hanging="317"/>
              <w:rPr>
                <w:sz w:val="20"/>
                <w:szCs w:val="20"/>
              </w:rPr>
            </w:pPr>
            <w:r w:rsidRPr="002509CC">
              <w:rPr>
                <w:sz w:val="20"/>
                <w:szCs w:val="20"/>
              </w:rPr>
              <w:t xml:space="preserve">An indication of a reasonable time within which a response is required. </w:t>
            </w:r>
          </w:p>
          <w:p w14:paraId="413A193E" w14:textId="77777777" w:rsidR="00A644AF" w:rsidRDefault="00A644AF" w:rsidP="004120C5">
            <w:pPr>
              <w:rPr>
                <w:sz w:val="20"/>
                <w:szCs w:val="20"/>
              </w:rPr>
            </w:pPr>
          </w:p>
          <w:p w14:paraId="6CE743A1" w14:textId="77777777" w:rsidR="00A644AF" w:rsidRPr="002509CC" w:rsidRDefault="00A644AF" w:rsidP="004120C5">
            <w:pPr>
              <w:rPr>
                <w:sz w:val="20"/>
                <w:szCs w:val="20"/>
              </w:rPr>
            </w:pPr>
            <w:r>
              <w:rPr>
                <w:sz w:val="20"/>
                <w:szCs w:val="20"/>
              </w:rPr>
              <w:t>The affected Party is required to respond in a timely manner on its willingness to participate in consultation.</w:t>
            </w:r>
          </w:p>
        </w:tc>
        <w:tc>
          <w:tcPr>
            <w:tcW w:w="4962" w:type="dxa"/>
          </w:tcPr>
          <w:p w14:paraId="7F1A5BBD" w14:textId="77777777" w:rsidR="00A644AF" w:rsidRDefault="00A644AF" w:rsidP="004120C5">
            <w:pPr>
              <w:jc w:val="both"/>
              <w:rPr>
                <w:sz w:val="20"/>
                <w:szCs w:val="20"/>
              </w:rPr>
            </w:pPr>
          </w:p>
          <w:p w14:paraId="313E635D" w14:textId="77777777" w:rsidR="00A644AF" w:rsidRDefault="00A644AF" w:rsidP="004120C5">
            <w:pPr>
              <w:jc w:val="both"/>
              <w:rPr>
                <w:sz w:val="20"/>
                <w:szCs w:val="20"/>
              </w:rPr>
            </w:pPr>
            <w:r>
              <w:rPr>
                <w:sz w:val="20"/>
                <w:szCs w:val="20"/>
              </w:rPr>
              <w:t xml:space="preserve">To contain: </w:t>
            </w:r>
          </w:p>
          <w:p w14:paraId="4176AA72" w14:textId="77777777" w:rsidR="00A644AF" w:rsidRPr="007D4442" w:rsidRDefault="00A644AF" w:rsidP="005028DC">
            <w:pPr>
              <w:pStyle w:val="ListParagraph"/>
              <w:numPr>
                <w:ilvl w:val="0"/>
                <w:numId w:val="10"/>
              </w:numPr>
              <w:ind w:left="318"/>
              <w:rPr>
                <w:sz w:val="20"/>
                <w:szCs w:val="20"/>
              </w:rPr>
            </w:pPr>
            <w:r w:rsidRPr="007D4442">
              <w:rPr>
                <w:sz w:val="20"/>
                <w:szCs w:val="20"/>
              </w:rPr>
              <w:t>The draft plan or programme and the environmental report including information on its possible transboundary effects; and</w:t>
            </w:r>
          </w:p>
          <w:p w14:paraId="0075B215" w14:textId="77777777" w:rsidR="00A644AF" w:rsidRDefault="00A644AF" w:rsidP="005028DC">
            <w:pPr>
              <w:pStyle w:val="ListParagraph"/>
              <w:numPr>
                <w:ilvl w:val="0"/>
                <w:numId w:val="10"/>
              </w:numPr>
              <w:ind w:left="318"/>
              <w:rPr>
                <w:sz w:val="20"/>
                <w:szCs w:val="20"/>
              </w:rPr>
            </w:pPr>
            <w:r w:rsidRPr="007D4442">
              <w:rPr>
                <w:sz w:val="20"/>
                <w:szCs w:val="20"/>
              </w:rPr>
              <w:t xml:space="preserve">Information regarding the decision-making procedures, including an indication of a reasonable time schedule for the transmission of comments. </w:t>
            </w:r>
          </w:p>
          <w:p w14:paraId="3E3D7ADD" w14:textId="77777777" w:rsidR="00A644AF" w:rsidRPr="00EA70E4" w:rsidRDefault="00A644AF" w:rsidP="004120C5">
            <w:pPr>
              <w:ind w:left="39"/>
              <w:rPr>
                <w:sz w:val="20"/>
                <w:szCs w:val="20"/>
              </w:rPr>
            </w:pPr>
          </w:p>
          <w:p w14:paraId="579F42B5" w14:textId="77777777" w:rsidR="00A644AF" w:rsidRPr="009C674A" w:rsidRDefault="00A644AF" w:rsidP="004120C5">
            <w:pPr>
              <w:rPr>
                <w:sz w:val="20"/>
                <w:szCs w:val="20"/>
              </w:rPr>
            </w:pPr>
            <w:r>
              <w:rPr>
                <w:sz w:val="20"/>
                <w:szCs w:val="20"/>
              </w:rPr>
              <w:t>The affected Party is required to respond in a timely manner on its willingness to participate in consultation.</w:t>
            </w:r>
          </w:p>
        </w:tc>
      </w:tr>
      <w:tr w:rsidR="00A644AF" w14:paraId="0557BDAC" w14:textId="77777777" w:rsidTr="004120C5">
        <w:tc>
          <w:tcPr>
            <w:tcW w:w="1555" w:type="dxa"/>
          </w:tcPr>
          <w:p w14:paraId="05FC390A" w14:textId="77777777" w:rsidR="00A644AF" w:rsidRPr="002509CC" w:rsidRDefault="00A644AF" w:rsidP="004120C5">
            <w:pPr>
              <w:jc w:val="both"/>
              <w:rPr>
                <w:sz w:val="20"/>
                <w:szCs w:val="20"/>
              </w:rPr>
            </w:pPr>
            <w:r w:rsidRPr="002509CC">
              <w:rPr>
                <w:sz w:val="20"/>
                <w:szCs w:val="20"/>
              </w:rPr>
              <w:t>Documentation</w:t>
            </w:r>
          </w:p>
        </w:tc>
        <w:tc>
          <w:tcPr>
            <w:tcW w:w="6945" w:type="dxa"/>
          </w:tcPr>
          <w:p w14:paraId="3824F36C" w14:textId="77777777" w:rsidR="00A644AF" w:rsidRPr="00CD603E" w:rsidRDefault="00A644AF" w:rsidP="005028DC">
            <w:pPr>
              <w:pStyle w:val="ListParagraph"/>
              <w:numPr>
                <w:ilvl w:val="0"/>
                <w:numId w:val="10"/>
              </w:numPr>
              <w:rPr>
                <w:sz w:val="20"/>
                <w:szCs w:val="20"/>
              </w:rPr>
            </w:pPr>
            <w:r w:rsidRPr="00CD603E">
              <w:rPr>
                <w:sz w:val="20"/>
                <w:szCs w:val="20"/>
              </w:rPr>
              <w:t>Relevant information regarding the assessment procedure, including an indication of time schedule for transmittal of comments; and</w:t>
            </w:r>
          </w:p>
          <w:p w14:paraId="7C9B5850" w14:textId="77777777" w:rsidR="00A644AF" w:rsidRDefault="00A644AF" w:rsidP="005028DC">
            <w:pPr>
              <w:pStyle w:val="ListParagraph"/>
              <w:numPr>
                <w:ilvl w:val="0"/>
                <w:numId w:val="10"/>
              </w:numPr>
              <w:rPr>
                <w:sz w:val="20"/>
                <w:szCs w:val="20"/>
              </w:rPr>
            </w:pPr>
            <w:r w:rsidRPr="00CD603E">
              <w:rPr>
                <w:sz w:val="20"/>
                <w:szCs w:val="20"/>
              </w:rPr>
              <w:t>Relevant information on the proposed activity and its possible significant adverse transboundary impact.</w:t>
            </w:r>
          </w:p>
          <w:p w14:paraId="6E97EC59" w14:textId="77777777" w:rsidR="00A644AF" w:rsidRPr="00CD603E" w:rsidRDefault="00A644AF" w:rsidP="004120C5">
            <w:pPr>
              <w:pStyle w:val="ListParagraph"/>
              <w:ind w:left="399"/>
              <w:rPr>
                <w:sz w:val="20"/>
                <w:szCs w:val="20"/>
              </w:rPr>
            </w:pPr>
          </w:p>
          <w:p w14:paraId="5552F2C4" w14:textId="77777777" w:rsidR="00A644AF" w:rsidRPr="002509CC" w:rsidRDefault="00A644AF" w:rsidP="004120C5">
            <w:pPr>
              <w:rPr>
                <w:sz w:val="20"/>
                <w:szCs w:val="20"/>
              </w:rPr>
            </w:pPr>
            <w:r>
              <w:rPr>
                <w:sz w:val="20"/>
                <w:szCs w:val="20"/>
              </w:rPr>
              <w:t xml:space="preserve">If requested, the affected Party is to </w:t>
            </w:r>
            <w:r w:rsidRPr="00CD603E">
              <w:rPr>
                <w:sz w:val="20"/>
                <w:szCs w:val="20"/>
              </w:rPr>
              <w:t>provide reasonably obtainable information relating to the potential</w:t>
            </w:r>
            <w:r>
              <w:rPr>
                <w:sz w:val="20"/>
                <w:szCs w:val="20"/>
              </w:rPr>
              <w:t>ly</w:t>
            </w:r>
            <w:r w:rsidRPr="00CD603E">
              <w:rPr>
                <w:sz w:val="20"/>
                <w:szCs w:val="20"/>
              </w:rPr>
              <w:t xml:space="preserve"> affected environment under its jurisdiction</w:t>
            </w:r>
            <w:r>
              <w:rPr>
                <w:sz w:val="20"/>
                <w:szCs w:val="20"/>
              </w:rPr>
              <w:t>.</w:t>
            </w:r>
          </w:p>
        </w:tc>
        <w:tc>
          <w:tcPr>
            <w:tcW w:w="4962" w:type="dxa"/>
          </w:tcPr>
          <w:p w14:paraId="6A381A59" w14:textId="77777777" w:rsidR="00A644AF" w:rsidRPr="007D4442" w:rsidRDefault="00A644AF" w:rsidP="004120C5">
            <w:pPr>
              <w:rPr>
                <w:sz w:val="20"/>
                <w:szCs w:val="20"/>
              </w:rPr>
            </w:pPr>
            <w:r w:rsidRPr="007D4442">
              <w:rPr>
                <w:sz w:val="20"/>
                <w:szCs w:val="20"/>
              </w:rPr>
              <w:t>To be submitted as part of the notification</w:t>
            </w:r>
          </w:p>
        </w:tc>
      </w:tr>
      <w:tr w:rsidR="00A644AF" w14:paraId="38471B26" w14:textId="77777777" w:rsidTr="004120C5">
        <w:tc>
          <w:tcPr>
            <w:tcW w:w="1555" w:type="dxa"/>
          </w:tcPr>
          <w:p w14:paraId="12143432" w14:textId="77777777" w:rsidR="00A644AF" w:rsidRPr="002509CC" w:rsidRDefault="00A644AF" w:rsidP="004120C5">
            <w:pPr>
              <w:jc w:val="both"/>
              <w:rPr>
                <w:sz w:val="20"/>
                <w:szCs w:val="20"/>
              </w:rPr>
            </w:pPr>
            <w:r w:rsidRPr="002509CC">
              <w:rPr>
                <w:sz w:val="20"/>
                <w:szCs w:val="20"/>
              </w:rPr>
              <w:t xml:space="preserve">Consultations </w:t>
            </w:r>
          </w:p>
        </w:tc>
        <w:tc>
          <w:tcPr>
            <w:tcW w:w="6945" w:type="dxa"/>
          </w:tcPr>
          <w:p w14:paraId="2C232B4C" w14:textId="77777777" w:rsidR="00A644AF" w:rsidRDefault="00A644AF" w:rsidP="004120C5">
            <w:pPr>
              <w:rPr>
                <w:sz w:val="20"/>
                <w:szCs w:val="20"/>
              </w:rPr>
            </w:pPr>
            <w:r>
              <w:rPr>
                <w:sz w:val="20"/>
                <w:szCs w:val="20"/>
              </w:rPr>
              <w:t xml:space="preserve">Party of origin to </w:t>
            </w:r>
            <w:r w:rsidRPr="006E65EB">
              <w:rPr>
                <w:sz w:val="20"/>
                <w:szCs w:val="20"/>
              </w:rPr>
              <w:t>provide an opportunity to the public in the areas likely to be affected to participate in relevant procedures on an equivalent bases as the public of the Party of origin</w:t>
            </w:r>
            <w:r>
              <w:rPr>
                <w:sz w:val="20"/>
                <w:szCs w:val="20"/>
              </w:rPr>
              <w:t>.</w:t>
            </w:r>
          </w:p>
          <w:p w14:paraId="5C40C0E0" w14:textId="77777777" w:rsidR="00A644AF" w:rsidRDefault="00A644AF" w:rsidP="004120C5">
            <w:pPr>
              <w:rPr>
                <w:sz w:val="20"/>
                <w:szCs w:val="20"/>
              </w:rPr>
            </w:pPr>
          </w:p>
          <w:p w14:paraId="3B34290B" w14:textId="77777777" w:rsidR="00A644AF" w:rsidRDefault="00A644AF" w:rsidP="004120C5">
            <w:pPr>
              <w:rPr>
                <w:sz w:val="20"/>
                <w:szCs w:val="20"/>
              </w:rPr>
            </w:pPr>
            <w:r>
              <w:rPr>
                <w:sz w:val="20"/>
                <w:szCs w:val="20"/>
              </w:rPr>
              <w:t>Affected party to be given opportunity to participate in the procedure to determine the content of the environmental impact assessment documentation.</w:t>
            </w:r>
          </w:p>
          <w:p w14:paraId="5B175267" w14:textId="77777777" w:rsidR="00A644AF" w:rsidRDefault="00A644AF" w:rsidP="004120C5">
            <w:pPr>
              <w:rPr>
                <w:sz w:val="20"/>
                <w:szCs w:val="20"/>
              </w:rPr>
            </w:pPr>
          </w:p>
          <w:p w14:paraId="28C1173B" w14:textId="77777777" w:rsidR="00A644AF" w:rsidRDefault="00A644AF" w:rsidP="004120C5">
            <w:pPr>
              <w:rPr>
                <w:sz w:val="20"/>
                <w:szCs w:val="20"/>
              </w:rPr>
            </w:pPr>
            <w:r>
              <w:rPr>
                <w:sz w:val="20"/>
                <w:szCs w:val="20"/>
              </w:rPr>
              <w:t xml:space="preserve">Affected party is to: </w:t>
            </w:r>
          </w:p>
          <w:p w14:paraId="12A4F5CC" w14:textId="77777777" w:rsidR="00A644AF" w:rsidRDefault="00A644AF" w:rsidP="005028DC">
            <w:pPr>
              <w:pStyle w:val="ListParagraph"/>
              <w:numPr>
                <w:ilvl w:val="0"/>
                <w:numId w:val="10"/>
              </w:numPr>
              <w:rPr>
                <w:sz w:val="20"/>
                <w:szCs w:val="20"/>
              </w:rPr>
            </w:pPr>
            <w:r w:rsidRPr="003D4BB2">
              <w:rPr>
                <w:sz w:val="20"/>
                <w:szCs w:val="20"/>
              </w:rPr>
              <w:t xml:space="preserve">ensure that the public in the areas likely to be affected are informed of and provided with possibilities to make comments or objections on the proposed activity; </w:t>
            </w:r>
          </w:p>
          <w:p w14:paraId="5D7651E6" w14:textId="77777777" w:rsidR="00A644AF" w:rsidRDefault="00A644AF" w:rsidP="005028DC">
            <w:pPr>
              <w:pStyle w:val="ListParagraph"/>
              <w:numPr>
                <w:ilvl w:val="0"/>
                <w:numId w:val="10"/>
              </w:numPr>
              <w:rPr>
                <w:sz w:val="20"/>
                <w:szCs w:val="20"/>
              </w:rPr>
            </w:pPr>
            <w:r w:rsidRPr="003D4BB2">
              <w:rPr>
                <w:sz w:val="20"/>
                <w:szCs w:val="20"/>
              </w:rPr>
              <w:lastRenderedPageBreak/>
              <w:t>arrange the distribution of the environmental impact assessment documentation to the authorities and public in the</w:t>
            </w:r>
            <w:r>
              <w:rPr>
                <w:sz w:val="20"/>
                <w:szCs w:val="20"/>
              </w:rPr>
              <w:t>se</w:t>
            </w:r>
            <w:r w:rsidRPr="003D4BB2">
              <w:rPr>
                <w:sz w:val="20"/>
                <w:szCs w:val="20"/>
              </w:rPr>
              <w:t xml:space="preserve"> areas</w:t>
            </w:r>
            <w:r>
              <w:rPr>
                <w:sz w:val="20"/>
                <w:szCs w:val="20"/>
              </w:rPr>
              <w:t>;</w:t>
            </w:r>
          </w:p>
          <w:p w14:paraId="1F30C6A3" w14:textId="77777777" w:rsidR="00A644AF" w:rsidRPr="003D4BB2" w:rsidRDefault="00A644AF" w:rsidP="005028DC">
            <w:pPr>
              <w:pStyle w:val="ListParagraph"/>
              <w:numPr>
                <w:ilvl w:val="0"/>
                <w:numId w:val="10"/>
              </w:numPr>
              <w:rPr>
                <w:sz w:val="20"/>
                <w:szCs w:val="20"/>
              </w:rPr>
            </w:pPr>
            <w:r w:rsidRPr="003D4BB2">
              <w:rPr>
                <w:sz w:val="20"/>
                <w:szCs w:val="20"/>
              </w:rPr>
              <w:t>transmit such comments or objections to the competent authority of the Party of origin</w:t>
            </w:r>
            <w:r w:rsidRPr="00B9618B">
              <w:rPr>
                <w:sz w:val="20"/>
                <w:szCs w:val="20"/>
              </w:rPr>
              <w:t xml:space="preserve"> within a reasonable time before the final decision is taken on the proposed activity.</w:t>
            </w:r>
          </w:p>
        </w:tc>
        <w:tc>
          <w:tcPr>
            <w:tcW w:w="4962" w:type="dxa"/>
          </w:tcPr>
          <w:p w14:paraId="2D412C24" w14:textId="011556DE" w:rsidR="00A644AF" w:rsidRPr="002509CC" w:rsidRDefault="00A644AF" w:rsidP="00352751">
            <w:pPr>
              <w:rPr>
                <w:sz w:val="20"/>
                <w:szCs w:val="20"/>
              </w:rPr>
            </w:pPr>
            <w:r w:rsidRPr="007D4442">
              <w:rPr>
                <w:sz w:val="20"/>
                <w:szCs w:val="20"/>
              </w:rPr>
              <w:lastRenderedPageBreak/>
              <w:t>Parties shall agree on detailed arrangements to ensure that the public concerned and relevant authorities in the affected Party are informed and given an opportunity to forward their opinion on the draft plan or programme and the environmental report within a reasonable timeframe.</w:t>
            </w:r>
          </w:p>
        </w:tc>
      </w:tr>
      <w:tr w:rsidR="00A644AF" w14:paraId="32E52438" w14:textId="77777777" w:rsidTr="004120C5">
        <w:tc>
          <w:tcPr>
            <w:tcW w:w="1555" w:type="dxa"/>
            <w:shd w:val="clear" w:color="auto" w:fill="BDD6EE" w:themeFill="accent1" w:themeFillTint="66"/>
          </w:tcPr>
          <w:p w14:paraId="1AE951E1" w14:textId="77777777" w:rsidR="00A644AF" w:rsidRPr="002509CC" w:rsidRDefault="00A644AF" w:rsidP="004120C5">
            <w:pPr>
              <w:jc w:val="both"/>
              <w:rPr>
                <w:i/>
                <w:sz w:val="20"/>
                <w:szCs w:val="20"/>
              </w:rPr>
            </w:pPr>
            <w:r w:rsidRPr="002509CC">
              <w:rPr>
                <w:i/>
                <w:sz w:val="20"/>
                <w:szCs w:val="20"/>
              </w:rPr>
              <w:t>Post-decision</w:t>
            </w:r>
          </w:p>
        </w:tc>
        <w:tc>
          <w:tcPr>
            <w:tcW w:w="11907" w:type="dxa"/>
            <w:gridSpan w:val="2"/>
            <w:shd w:val="clear" w:color="auto" w:fill="BDD6EE" w:themeFill="accent1" w:themeFillTint="66"/>
          </w:tcPr>
          <w:p w14:paraId="03F6ECC0" w14:textId="77777777" w:rsidR="00A644AF" w:rsidRPr="002509CC" w:rsidRDefault="00A644AF" w:rsidP="004120C5">
            <w:pPr>
              <w:jc w:val="both"/>
              <w:rPr>
                <w:sz w:val="20"/>
                <w:szCs w:val="20"/>
              </w:rPr>
            </w:pPr>
          </w:p>
        </w:tc>
      </w:tr>
      <w:tr w:rsidR="00A644AF" w14:paraId="1B2FF7DA" w14:textId="77777777" w:rsidTr="004120C5">
        <w:tc>
          <w:tcPr>
            <w:tcW w:w="1555" w:type="dxa"/>
          </w:tcPr>
          <w:p w14:paraId="1BAB411A" w14:textId="77777777" w:rsidR="00A644AF" w:rsidRPr="002509CC" w:rsidRDefault="00A644AF" w:rsidP="004120C5">
            <w:pPr>
              <w:jc w:val="both"/>
              <w:rPr>
                <w:sz w:val="20"/>
                <w:szCs w:val="20"/>
              </w:rPr>
            </w:pPr>
            <w:r>
              <w:rPr>
                <w:sz w:val="20"/>
                <w:szCs w:val="20"/>
              </w:rPr>
              <w:t>Documentation</w:t>
            </w:r>
          </w:p>
        </w:tc>
        <w:tc>
          <w:tcPr>
            <w:tcW w:w="6945" w:type="dxa"/>
          </w:tcPr>
          <w:p w14:paraId="13ED443C" w14:textId="77777777" w:rsidR="00A644AF" w:rsidRDefault="00A644AF" w:rsidP="005028DC">
            <w:pPr>
              <w:pStyle w:val="ListParagraph"/>
              <w:numPr>
                <w:ilvl w:val="0"/>
                <w:numId w:val="10"/>
              </w:numPr>
              <w:rPr>
                <w:sz w:val="20"/>
                <w:szCs w:val="20"/>
              </w:rPr>
            </w:pPr>
            <w:r>
              <w:rPr>
                <w:sz w:val="20"/>
                <w:szCs w:val="20"/>
              </w:rPr>
              <w:t>The Party of origin to provide to the affected Party the final decision together with reasons and considerations on which it was based</w:t>
            </w:r>
          </w:p>
          <w:p w14:paraId="105F77B5" w14:textId="77777777" w:rsidR="00A644AF" w:rsidRPr="00AF0386" w:rsidRDefault="00A644AF" w:rsidP="005028DC">
            <w:pPr>
              <w:pStyle w:val="ListParagraph"/>
              <w:numPr>
                <w:ilvl w:val="0"/>
                <w:numId w:val="10"/>
              </w:numPr>
              <w:rPr>
                <w:sz w:val="20"/>
                <w:szCs w:val="20"/>
              </w:rPr>
            </w:pPr>
            <w:r>
              <w:rPr>
                <w:sz w:val="20"/>
                <w:szCs w:val="20"/>
              </w:rPr>
              <w:t>Inform concerned Party/ Parties if additional information (which could have materially affected the decision) becomes available after the final decision is made and before the activity commences</w:t>
            </w:r>
          </w:p>
          <w:p w14:paraId="3980204A" w14:textId="77777777" w:rsidR="00A644AF" w:rsidRPr="00CD603E" w:rsidRDefault="00A644AF" w:rsidP="004120C5">
            <w:pPr>
              <w:pStyle w:val="ListParagraph"/>
              <w:ind w:left="399"/>
              <w:rPr>
                <w:sz w:val="20"/>
                <w:szCs w:val="20"/>
              </w:rPr>
            </w:pPr>
          </w:p>
        </w:tc>
        <w:tc>
          <w:tcPr>
            <w:tcW w:w="4962" w:type="dxa"/>
          </w:tcPr>
          <w:p w14:paraId="03637FF1" w14:textId="77777777" w:rsidR="00A644AF" w:rsidRPr="009C674A" w:rsidRDefault="00A644AF" w:rsidP="005028DC">
            <w:pPr>
              <w:pStyle w:val="ListParagraph"/>
              <w:numPr>
                <w:ilvl w:val="0"/>
                <w:numId w:val="10"/>
              </w:numPr>
              <w:rPr>
                <w:sz w:val="20"/>
                <w:szCs w:val="20"/>
              </w:rPr>
            </w:pPr>
            <w:r w:rsidRPr="007D4442">
              <w:rPr>
                <w:sz w:val="20"/>
                <w:szCs w:val="20"/>
              </w:rPr>
              <w:t xml:space="preserve">A copy of the final plan or programme </w:t>
            </w:r>
            <w:r>
              <w:rPr>
                <w:sz w:val="20"/>
                <w:szCs w:val="20"/>
              </w:rPr>
              <w:t xml:space="preserve">to be provided to consulted Parties, </w:t>
            </w:r>
            <w:r w:rsidRPr="007D4442">
              <w:rPr>
                <w:sz w:val="20"/>
                <w:szCs w:val="20"/>
              </w:rPr>
              <w:t xml:space="preserve">together with a statement summarising how the environmental, including health, considerations have been integrated into it, how the comments received have been taken into account and the reasons for adopting it in the light of the reasonable alternatives considered. </w:t>
            </w:r>
          </w:p>
        </w:tc>
      </w:tr>
      <w:tr w:rsidR="00A644AF" w14:paraId="1C14413C" w14:textId="77777777" w:rsidTr="004120C5">
        <w:tc>
          <w:tcPr>
            <w:tcW w:w="1555" w:type="dxa"/>
          </w:tcPr>
          <w:p w14:paraId="1A441B9F" w14:textId="77777777" w:rsidR="00A644AF" w:rsidRPr="002509CC" w:rsidRDefault="00A644AF" w:rsidP="004120C5">
            <w:pPr>
              <w:jc w:val="both"/>
              <w:rPr>
                <w:sz w:val="20"/>
                <w:szCs w:val="20"/>
              </w:rPr>
            </w:pPr>
            <w:r>
              <w:rPr>
                <w:sz w:val="20"/>
                <w:szCs w:val="20"/>
              </w:rPr>
              <w:t xml:space="preserve">Monitoring </w:t>
            </w:r>
          </w:p>
        </w:tc>
        <w:tc>
          <w:tcPr>
            <w:tcW w:w="6945" w:type="dxa"/>
          </w:tcPr>
          <w:p w14:paraId="41E469CB" w14:textId="77777777" w:rsidR="00A644AF" w:rsidRPr="002509CC" w:rsidRDefault="00A644AF" w:rsidP="004120C5">
            <w:pPr>
              <w:jc w:val="both"/>
              <w:rPr>
                <w:sz w:val="20"/>
                <w:szCs w:val="20"/>
              </w:rPr>
            </w:pPr>
            <w:r w:rsidRPr="0057373C">
              <w:rPr>
                <w:sz w:val="20"/>
                <w:szCs w:val="20"/>
              </w:rPr>
              <w:t>Provisions for post-project analysis are included, which shall be determined by the concerned Parties which shall include surveillance of the activity and the determination of any adverse transboundary impacts</w:t>
            </w:r>
            <w:r>
              <w:rPr>
                <w:sz w:val="20"/>
                <w:szCs w:val="20"/>
              </w:rPr>
              <w:t>.</w:t>
            </w:r>
          </w:p>
        </w:tc>
        <w:tc>
          <w:tcPr>
            <w:tcW w:w="4962" w:type="dxa"/>
          </w:tcPr>
          <w:p w14:paraId="72BB7213" w14:textId="77777777" w:rsidR="00A644AF" w:rsidRPr="002509CC" w:rsidRDefault="00A644AF" w:rsidP="004120C5">
            <w:pPr>
              <w:jc w:val="both"/>
              <w:rPr>
                <w:sz w:val="20"/>
                <w:szCs w:val="20"/>
              </w:rPr>
            </w:pPr>
          </w:p>
        </w:tc>
      </w:tr>
    </w:tbl>
    <w:p w14:paraId="501757DD" w14:textId="77777777" w:rsidR="00BC28CE" w:rsidRPr="00A644AF" w:rsidRDefault="00BC28CE" w:rsidP="00A644AF">
      <w:pPr>
        <w:rPr>
          <w:rFonts w:cstheme="minorHAnsi"/>
        </w:rPr>
      </w:pPr>
    </w:p>
    <w:p w14:paraId="2A92948D" w14:textId="77777777" w:rsidR="00A644AF" w:rsidRPr="00A644AF" w:rsidRDefault="003A2A17" w:rsidP="00A644AF">
      <w:pPr>
        <w:pStyle w:val="Caption"/>
        <w:spacing w:after="0"/>
        <w:rPr>
          <w:color w:val="1F4E79" w:themeColor="accent1" w:themeShade="80"/>
          <w:sz w:val="20"/>
          <w:szCs w:val="20"/>
        </w:rPr>
      </w:pPr>
      <w:r w:rsidRPr="003A2A17">
        <w:t xml:space="preserve"> </w:t>
      </w:r>
      <w:r w:rsidR="00A644AF" w:rsidRPr="00A644AF">
        <w:rPr>
          <w:color w:val="1F4E79" w:themeColor="accent1" w:themeShade="80"/>
          <w:sz w:val="20"/>
          <w:szCs w:val="20"/>
        </w:rPr>
        <w:t>Table</w:t>
      </w:r>
      <w:r w:rsidR="00A644AF">
        <w:rPr>
          <w:color w:val="1F4E79" w:themeColor="accent1" w:themeShade="80"/>
          <w:sz w:val="20"/>
          <w:szCs w:val="20"/>
        </w:rPr>
        <w:t xml:space="preserve"> </w:t>
      </w:r>
      <w:r w:rsidR="00A644AF" w:rsidRPr="00A644AF">
        <w:rPr>
          <w:color w:val="1F4E79" w:themeColor="accent1" w:themeShade="80"/>
          <w:sz w:val="20"/>
          <w:szCs w:val="20"/>
        </w:rPr>
        <w:t>2: Main provisions of the EU legal framework governing co-operation concerning transboundary environmental impacts</w:t>
      </w:r>
    </w:p>
    <w:tbl>
      <w:tblPr>
        <w:tblStyle w:val="TableGrid"/>
        <w:tblW w:w="0" w:type="auto"/>
        <w:tblLook w:val="04A0" w:firstRow="1" w:lastRow="0" w:firstColumn="1" w:lastColumn="0" w:noHBand="0" w:noVBand="1"/>
      </w:tblPr>
      <w:tblGrid>
        <w:gridCol w:w="1555"/>
        <w:gridCol w:w="6945"/>
        <w:gridCol w:w="4962"/>
      </w:tblGrid>
      <w:tr w:rsidR="00A644AF" w:rsidRPr="002E2A45" w14:paraId="4D2047D5" w14:textId="77777777" w:rsidTr="00A644AF">
        <w:tc>
          <w:tcPr>
            <w:tcW w:w="1555" w:type="dxa"/>
            <w:shd w:val="clear" w:color="auto" w:fill="9CC2E5" w:themeFill="accent1" w:themeFillTint="99"/>
          </w:tcPr>
          <w:p w14:paraId="5459A1D7" w14:textId="77777777" w:rsidR="00A644AF" w:rsidRPr="002E2A45" w:rsidRDefault="00A644AF" w:rsidP="004120C5">
            <w:pPr>
              <w:rPr>
                <w:b/>
                <w:sz w:val="20"/>
                <w:szCs w:val="20"/>
              </w:rPr>
            </w:pPr>
            <w:r w:rsidRPr="002E2A45">
              <w:rPr>
                <w:b/>
                <w:sz w:val="20"/>
                <w:szCs w:val="20"/>
              </w:rPr>
              <w:t>Key steps</w:t>
            </w:r>
          </w:p>
        </w:tc>
        <w:tc>
          <w:tcPr>
            <w:tcW w:w="6945" w:type="dxa"/>
            <w:shd w:val="clear" w:color="auto" w:fill="9CC2E5" w:themeFill="accent1" w:themeFillTint="99"/>
          </w:tcPr>
          <w:p w14:paraId="0DA28CED" w14:textId="77777777" w:rsidR="00A644AF" w:rsidRPr="002E2A45" w:rsidRDefault="00A644AF" w:rsidP="004120C5">
            <w:pPr>
              <w:jc w:val="center"/>
              <w:rPr>
                <w:b/>
                <w:sz w:val="20"/>
                <w:szCs w:val="20"/>
              </w:rPr>
            </w:pPr>
            <w:r w:rsidRPr="002E2A45">
              <w:rPr>
                <w:b/>
                <w:sz w:val="20"/>
                <w:szCs w:val="20"/>
              </w:rPr>
              <w:t>EIA Directive</w:t>
            </w:r>
          </w:p>
        </w:tc>
        <w:tc>
          <w:tcPr>
            <w:tcW w:w="4962" w:type="dxa"/>
            <w:shd w:val="clear" w:color="auto" w:fill="9CC2E5" w:themeFill="accent1" w:themeFillTint="99"/>
          </w:tcPr>
          <w:p w14:paraId="30050F14" w14:textId="77777777" w:rsidR="00A644AF" w:rsidRPr="002E2A45" w:rsidRDefault="00A644AF" w:rsidP="004120C5">
            <w:pPr>
              <w:jc w:val="center"/>
              <w:rPr>
                <w:b/>
                <w:sz w:val="20"/>
                <w:szCs w:val="20"/>
              </w:rPr>
            </w:pPr>
            <w:r w:rsidRPr="002E2A45">
              <w:rPr>
                <w:b/>
                <w:sz w:val="20"/>
                <w:szCs w:val="20"/>
              </w:rPr>
              <w:t>SEA Directive</w:t>
            </w:r>
          </w:p>
        </w:tc>
      </w:tr>
      <w:tr w:rsidR="00A644AF" w:rsidRPr="002E2A45" w14:paraId="5586F492" w14:textId="77777777" w:rsidTr="00A644AF">
        <w:tc>
          <w:tcPr>
            <w:tcW w:w="1555" w:type="dxa"/>
            <w:shd w:val="clear" w:color="auto" w:fill="BDD6EE" w:themeFill="accent1" w:themeFillTint="66"/>
          </w:tcPr>
          <w:p w14:paraId="6A70A0DA" w14:textId="77777777" w:rsidR="00A644AF" w:rsidRPr="002E2A45" w:rsidRDefault="00A644AF" w:rsidP="004120C5">
            <w:pPr>
              <w:rPr>
                <w:i/>
                <w:sz w:val="20"/>
                <w:szCs w:val="20"/>
              </w:rPr>
            </w:pPr>
            <w:r w:rsidRPr="002E2A45">
              <w:rPr>
                <w:i/>
                <w:sz w:val="20"/>
                <w:szCs w:val="20"/>
              </w:rPr>
              <w:t>Pre-decision</w:t>
            </w:r>
          </w:p>
        </w:tc>
        <w:tc>
          <w:tcPr>
            <w:tcW w:w="11907" w:type="dxa"/>
            <w:gridSpan w:val="2"/>
            <w:shd w:val="clear" w:color="auto" w:fill="BDD6EE" w:themeFill="accent1" w:themeFillTint="66"/>
          </w:tcPr>
          <w:p w14:paraId="7DD7A94D" w14:textId="77777777" w:rsidR="00A644AF" w:rsidRPr="002E2A45" w:rsidRDefault="00A644AF" w:rsidP="004120C5">
            <w:pPr>
              <w:jc w:val="center"/>
              <w:rPr>
                <w:b/>
                <w:sz w:val="20"/>
                <w:szCs w:val="20"/>
              </w:rPr>
            </w:pPr>
          </w:p>
        </w:tc>
      </w:tr>
      <w:tr w:rsidR="00A644AF" w:rsidRPr="002E2A45" w14:paraId="3003809B" w14:textId="77777777" w:rsidTr="00A644AF">
        <w:tc>
          <w:tcPr>
            <w:tcW w:w="1555" w:type="dxa"/>
            <w:vAlign w:val="center"/>
          </w:tcPr>
          <w:p w14:paraId="356159C9" w14:textId="77777777" w:rsidR="00A644AF" w:rsidRPr="002E2A45" w:rsidRDefault="00A644AF" w:rsidP="004120C5">
            <w:pPr>
              <w:rPr>
                <w:sz w:val="20"/>
                <w:szCs w:val="20"/>
              </w:rPr>
            </w:pPr>
            <w:r w:rsidRPr="002E2A45">
              <w:rPr>
                <w:sz w:val="20"/>
                <w:szCs w:val="20"/>
              </w:rPr>
              <w:t xml:space="preserve">Notification </w:t>
            </w:r>
            <w:r>
              <w:rPr>
                <w:sz w:val="20"/>
                <w:szCs w:val="20"/>
              </w:rPr>
              <w:t>and documentation</w:t>
            </w:r>
          </w:p>
        </w:tc>
        <w:tc>
          <w:tcPr>
            <w:tcW w:w="6945" w:type="dxa"/>
          </w:tcPr>
          <w:p w14:paraId="72BE3834" w14:textId="77777777" w:rsidR="00A644AF" w:rsidRDefault="00A644AF" w:rsidP="004120C5">
            <w:pPr>
              <w:rPr>
                <w:sz w:val="20"/>
                <w:szCs w:val="20"/>
              </w:rPr>
            </w:pPr>
            <w:r>
              <w:rPr>
                <w:sz w:val="20"/>
                <w:szCs w:val="20"/>
              </w:rPr>
              <w:t xml:space="preserve">To be carried out as soon as possible and no later than informing public within Member State where project is intended. </w:t>
            </w:r>
          </w:p>
          <w:p w14:paraId="067F07F9" w14:textId="77777777" w:rsidR="00A644AF" w:rsidRDefault="00A644AF" w:rsidP="004120C5">
            <w:pPr>
              <w:rPr>
                <w:sz w:val="20"/>
                <w:szCs w:val="20"/>
              </w:rPr>
            </w:pPr>
          </w:p>
          <w:p w14:paraId="52619048" w14:textId="77777777" w:rsidR="00A644AF" w:rsidRPr="002E2A45" w:rsidRDefault="00A644AF" w:rsidP="004120C5">
            <w:pPr>
              <w:rPr>
                <w:sz w:val="20"/>
                <w:szCs w:val="20"/>
              </w:rPr>
            </w:pPr>
            <w:r>
              <w:rPr>
                <w:sz w:val="20"/>
                <w:szCs w:val="20"/>
              </w:rPr>
              <w:t xml:space="preserve">To contain: </w:t>
            </w:r>
            <w:r w:rsidRPr="002E2A45">
              <w:rPr>
                <w:sz w:val="20"/>
                <w:szCs w:val="20"/>
              </w:rPr>
              <w:t xml:space="preserve"> </w:t>
            </w:r>
          </w:p>
          <w:p w14:paraId="03E8F62C" w14:textId="77777777" w:rsidR="00A644AF" w:rsidRPr="002E2A45" w:rsidRDefault="00A644AF" w:rsidP="005028DC">
            <w:pPr>
              <w:pStyle w:val="ListParagraph"/>
              <w:numPr>
                <w:ilvl w:val="0"/>
                <w:numId w:val="5"/>
              </w:numPr>
              <w:ind w:left="322" w:hanging="322"/>
              <w:rPr>
                <w:sz w:val="20"/>
                <w:szCs w:val="20"/>
              </w:rPr>
            </w:pPr>
            <w:r w:rsidRPr="002E2A45">
              <w:rPr>
                <w:sz w:val="20"/>
                <w:szCs w:val="20"/>
              </w:rPr>
              <w:t xml:space="preserve">a description of the project, together with any available information on its possible transboundary impact; </w:t>
            </w:r>
          </w:p>
          <w:p w14:paraId="1B38AB90" w14:textId="77777777" w:rsidR="00A644AF" w:rsidRPr="002E2A45" w:rsidRDefault="00A644AF" w:rsidP="005028DC">
            <w:pPr>
              <w:pStyle w:val="ListParagraph"/>
              <w:numPr>
                <w:ilvl w:val="0"/>
                <w:numId w:val="5"/>
              </w:numPr>
              <w:ind w:left="322" w:hanging="322"/>
              <w:rPr>
                <w:sz w:val="20"/>
                <w:szCs w:val="20"/>
              </w:rPr>
            </w:pPr>
            <w:r w:rsidRPr="002E2A45">
              <w:rPr>
                <w:sz w:val="20"/>
                <w:szCs w:val="20"/>
              </w:rPr>
              <w:t>information on the nature of the decision which may be taken.</w:t>
            </w:r>
          </w:p>
          <w:p w14:paraId="681A61EA" w14:textId="77777777" w:rsidR="00A644AF" w:rsidRPr="002E2A45" w:rsidRDefault="00A644AF" w:rsidP="004120C5">
            <w:pPr>
              <w:rPr>
                <w:sz w:val="20"/>
                <w:szCs w:val="20"/>
              </w:rPr>
            </w:pPr>
          </w:p>
          <w:p w14:paraId="572B4D76" w14:textId="2AB229EA" w:rsidR="00A644AF" w:rsidRPr="002E2A45" w:rsidRDefault="00A644AF" w:rsidP="00352751">
            <w:pPr>
              <w:rPr>
                <w:sz w:val="20"/>
                <w:szCs w:val="20"/>
              </w:rPr>
            </w:pPr>
            <w:r w:rsidRPr="002E2A45">
              <w:rPr>
                <w:sz w:val="20"/>
                <w:szCs w:val="20"/>
              </w:rPr>
              <w:t>A reasonable timeframe is to be communicated to the Member State likely to be affected, within which it can indicate whether it wishes to participate in the environmental decision making procedures (consultations).</w:t>
            </w:r>
          </w:p>
        </w:tc>
        <w:tc>
          <w:tcPr>
            <w:tcW w:w="4962" w:type="dxa"/>
          </w:tcPr>
          <w:p w14:paraId="33478095" w14:textId="77777777" w:rsidR="00A644AF" w:rsidRDefault="00A644AF" w:rsidP="004120C5">
            <w:pPr>
              <w:rPr>
                <w:sz w:val="20"/>
                <w:szCs w:val="20"/>
              </w:rPr>
            </w:pPr>
            <w:r>
              <w:rPr>
                <w:sz w:val="20"/>
                <w:szCs w:val="20"/>
              </w:rPr>
              <w:t xml:space="preserve">To be carried out before the adoption or submission to the legislative procedure of the plan/programme. </w:t>
            </w:r>
          </w:p>
          <w:p w14:paraId="591CB05D" w14:textId="77777777" w:rsidR="00A644AF" w:rsidRDefault="00A644AF" w:rsidP="004120C5">
            <w:pPr>
              <w:rPr>
                <w:sz w:val="20"/>
                <w:szCs w:val="20"/>
              </w:rPr>
            </w:pPr>
          </w:p>
          <w:p w14:paraId="3CA6D0A1" w14:textId="77777777" w:rsidR="00A644AF" w:rsidRDefault="00A644AF" w:rsidP="004120C5">
            <w:pPr>
              <w:rPr>
                <w:sz w:val="20"/>
                <w:szCs w:val="20"/>
              </w:rPr>
            </w:pPr>
            <w:r>
              <w:rPr>
                <w:sz w:val="20"/>
                <w:szCs w:val="20"/>
              </w:rPr>
              <w:t xml:space="preserve">To contain: </w:t>
            </w:r>
          </w:p>
          <w:p w14:paraId="669E7917" w14:textId="77777777" w:rsidR="00A644AF" w:rsidRPr="002E2A45" w:rsidRDefault="00A644AF" w:rsidP="005028DC">
            <w:pPr>
              <w:pStyle w:val="ListParagraph"/>
              <w:numPr>
                <w:ilvl w:val="0"/>
                <w:numId w:val="5"/>
              </w:numPr>
              <w:ind w:left="360"/>
              <w:rPr>
                <w:sz w:val="20"/>
                <w:szCs w:val="20"/>
              </w:rPr>
            </w:pPr>
            <w:r w:rsidRPr="002E2A45">
              <w:rPr>
                <w:sz w:val="20"/>
                <w:szCs w:val="20"/>
              </w:rPr>
              <w:t xml:space="preserve">a copy of the draft plan or programme; </w:t>
            </w:r>
          </w:p>
          <w:p w14:paraId="689867EE" w14:textId="77777777" w:rsidR="00A644AF" w:rsidRPr="002E2A45" w:rsidRDefault="00A644AF" w:rsidP="005028DC">
            <w:pPr>
              <w:pStyle w:val="ListParagraph"/>
              <w:numPr>
                <w:ilvl w:val="0"/>
                <w:numId w:val="5"/>
              </w:numPr>
              <w:ind w:left="360"/>
              <w:rPr>
                <w:sz w:val="20"/>
                <w:szCs w:val="20"/>
              </w:rPr>
            </w:pPr>
            <w:r w:rsidRPr="002E2A45">
              <w:rPr>
                <w:sz w:val="20"/>
                <w:szCs w:val="20"/>
              </w:rPr>
              <w:t>the relevant environmental report.</w:t>
            </w:r>
          </w:p>
          <w:p w14:paraId="39D809FA" w14:textId="77777777" w:rsidR="00A644AF" w:rsidRPr="002E2A45" w:rsidRDefault="00A644AF" w:rsidP="004120C5">
            <w:pPr>
              <w:rPr>
                <w:sz w:val="20"/>
                <w:szCs w:val="20"/>
              </w:rPr>
            </w:pPr>
          </w:p>
        </w:tc>
      </w:tr>
      <w:tr w:rsidR="00A644AF" w:rsidRPr="002E2A45" w14:paraId="3E61E399" w14:textId="77777777" w:rsidTr="00A644AF">
        <w:tc>
          <w:tcPr>
            <w:tcW w:w="1555" w:type="dxa"/>
            <w:vAlign w:val="center"/>
          </w:tcPr>
          <w:p w14:paraId="11698A69" w14:textId="77777777" w:rsidR="00A644AF" w:rsidRPr="002E2A45" w:rsidRDefault="00A644AF" w:rsidP="004120C5">
            <w:pPr>
              <w:rPr>
                <w:sz w:val="20"/>
                <w:szCs w:val="20"/>
              </w:rPr>
            </w:pPr>
            <w:r w:rsidRPr="002E2A45">
              <w:rPr>
                <w:sz w:val="20"/>
                <w:szCs w:val="20"/>
              </w:rPr>
              <w:t>Consultation</w:t>
            </w:r>
          </w:p>
        </w:tc>
        <w:tc>
          <w:tcPr>
            <w:tcW w:w="6945" w:type="dxa"/>
          </w:tcPr>
          <w:p w14:paraId="18EF984B" w14:textId="77777777" w:rsidR="00A644AF" w:rsidRDefault="00A644AF" w:rsidP="004120C5">
            <w:pPr>
              <w:rPr>
                <w:sz w:val="20"/>
                <w:szCs w:val="20"/>
              </w:rPr>
            </w:pPr>
            <w:r>
              <w:rPr>
                <w:sz w:val="20"/>
                <w:szCs w:val="20"/>
              </w:rPr>
              <w:t xml:space="preserve">Member States are to enter into consultation on: </w:t>
            </w:r>
          </w:p>
          <w:p w14:paraId="3AB226ED" w14:textId="77777777" w:rsidR="00A644AF" w:rsidRPr="002E2A45" w:rsidRDefault="00A644AF" w:rsidP="005028DC">
            <w:pPr>
              <w:pStyle w:val="ListParagraph"/>
              <w:numPr>
                <w:ilvl w:val="0"/>
                <w:numId w:val="6"/>
              </w:numPr>
              <w:ind w:left="322" w:hanging="322"/>
              <w:rPr>
                <w:sz w:val="20"/>
                <w:szCs w:val="20"/>
              </w:rPr>
            </w:pPr>
            <w:r w:rsidRPr="002E2A45">
              <w:rPr>
                <w:sz w:val="20"/>
                <w:szCs w:val="20"/>
              </w:rPr>
              <w:t>the potential transboundary effects of the project, and</w:t>
            </w:r>
          </w:p>
          <w:p w14:paraId="5F8C15FB" w14:textId="77777777" w:rsidR="00A644AF" w:rsidRPr="002E2A45" w:rsidRDefault="00A644AF" w:rsidP="005028DC">
            <w:pPr>
              <w:pStyle w:val="ListParagraph"/>
              <w:numPr>
                <w:ilvl w:val="0"/>
                <w:numId w:val="6"/>
              </w:numPr>
              <w:ind w:left="322" w:hanging="322"/>
              <w:rPr>
                <w:sz w:val="20"/>
                <w:szCs w:val="20"/>
              </w:rPr>
            </w:pPr>
            <w:r w:rsidRPr="002E2A45">
              <w:rPr>
                <w:sz w:val="20"/>
                <w:szCs w:val="20"/>
              </w:rPr>
              <w:t>the measures envisaged to reduce or eliminate such effects.</w:t>
            </w:r>
          </w:p>
          <w:p w14:paraId="1C342DC1" w14:textId="77777777" w:rsidR="00A644AF" w:rsidRDefault="00A644AF" w:rsidP="004120C5">
            <w:pPr>
              <w:rPr>
                <w:sz w:val="20"/>
                <w:szCs w:val="20"/>
              </w:rPr>
            </w:pPr>
          </w:p>
          <w:p w14:paraId="18CC0A5A" w14:textId="0FFEB062" w:rsidR="00A644AF" w:rsidRDefault="00A644AF" w:rsidP="004120C5">
            <w:pPr>
              <w:rPr>
                <w:sz w:val="20"/>
                <w:szCs w:val="20"/>
              </w:rPr>
            </w:pPr>
            <w:r>
              <w:rPr>
                <w:sz w:val="20"/>
                <w:szCs w:val="20"/>
              </w:rPr>
              <w:lastRenderedPageBreak/>
              <w:t>A</w:t>
            </w:r>
            <w:r w:rsidRPr="002E2A45">
              <w:rPr>
                <w:sz w:val="20"/>
                <w:szCs w:val="20"/>
              </w:rPr>
              <w:t xml:space="preserve"> reasonable timeframe for the duration of the consultation period</w:t>
            </w:r>
            <w:r>
              <w:rPr>
                <w:sz w:val="20"/>
                <w:szCs w:val="20"/>
              </w:rPr>
              <w:t xml:space="preserve"> is to be agreed</w:t>
            </w:r>
            <w:r w:rsidRPr="002E2A45">
              <w:rPr>
                <w:sz w:val="20"/>
                <w:szCs w:val="20"/>
              </w:rPr>
              <w:t xml:space="preserve">. The detailed arrangements </w:t>
            </w:r>
            <w:r>
              <w:rPr>
                <w:sz w:val="20"/>
                <w:szCs w:val="20"/>
              </w:rPr>
              <w:t>for consultations shall</w:t>
            </w:r>
            <w:r w:rsidRPr="002E2A45">
              <w:rPr>
                <w:sz w:val="20"/>
                <w:szCs w:val="20"/>
              </w:rPr>
              <w:t xml:space="preserve"> enable the public concerned in the territory of the affected Member State to participate effectively in the environmental decision-making procedures.</w:t>
            </w:r>
          </w:p>
          <w:p w14:paraId="66B5CBE0" w14:textId="77777777" w:rsidR="00A644AF" w:rsidRPr="002E2A45" w:rsidRDefault="00A644AF" w:rsidP="004120C5">
            <w:pPr>
              <w:rPr>
                <w:sz w:val="20"/>
                <w:szCs w:val="20"/>
              </w:rPr>
            </w:pPr>
            <w:r w:rsidRPr="002E2A45">
              <w:rPr>
                <w:sz w:val="20"/>
                <w:szCs w:val="20"/>
              </w:rPr>
              <w:t xml:space="preserve"> </w:t>
            </w:r>
          </w:p>
          <w:p w14:paraId="675B3E84" w14:textId="77777777" w:rsidR="00A644AF" w:rsidRPr="002E2A45" w:rsidRDefault="00A644AF" w:rsidP="004120C5">
            <w:pPr>
              <w:rPr>
                <w:sz w:val="20"/>
                <w:szCs w:val="20"/>
              </w:rPr>
            </w:pPr>
            <w:r w:rsidRPr="002E2A45">
              <w:rPr>
                <w:sz w:val="20"/>
                <w:szCs w:val="20"/>
              </w:rPr>
              <w:t xml:space="preserve">Such consultations may be conducted through an appropriate joint body. </w:t>
            </w:r>
          </w:p>
        </w:tc>
        <w:tc>
          <w:tcPr>
            <w:tcW w:w="4962" w:type="dxa"/>
          </w:tcPr>
          <w:p w14:paraId="327A4E9B" w14:textId="77777777" w:rsidR="00A644AF" w:rsidRDefault="00A644AF" w:rsidP="004120C5">
            <w:pPr>
              <w:rPr>
                <w:sz w:val="20"/>
                <w:szCs w:val="20"/>
              </w:rPr>
            </w:pPr>
            <w:r w:rsidRPr="002E2A45">
              <w:rPr>
                <w:sz w:val="20"/>
                <w:szCs w:val="20"/>
              </w:rPr>
              <w:lastRenderedPageBreak/>
              <w:t>Member States concerned shall agree on</w:t>
            </w:r>
            <w:r>
              <w:rPr>
                <w:sz w:val="20"/>
                <w:szCs w:val="20"/>
              </w:rPr>
              <w:t xml:space="preserve">: </w:t>
            </w:r>
          </w:p>
          <w:p w14:paraId="1926656E" w14:textId="77777777" w:rsidR="00A644AF" w:rsidRPr="007843EB" w:rsidRDefault="00A644AF" w:rsidP="005028DC">
            <w:pPr>
              <w:pStyle w:val="ListParagraph"/>
              <w:numPr>
                <w:ilvl w:val="0"/>
                <w:numId w:val="7"/>
              </w:numPr>
              <w:ind w:left="360" w:hanging="284"/>
              <w:rPr>
                <w:sz w:val="20"/>
                <w:szCs w:val="20"/>
              </w:rPr>
            </w:pPr>
            <w:r w:rsidRPr="007843EB">
              <w:rPr>
                <w:sz w:val="20"/>
                <w:szCs w:val="20"/>
              </w:rPr>
              <w:t>a reasonable timeframe for the duration of the consultations, at the beginning of such consultations.</w:t>
            </w:r>
          </w:p>
          <w:p w14:paraId="710DED9F" w14:textId="77777777" w:rsidR="00A644AF" w:rsidRPr="002E2A45" w:rsidRDefault="00A644AF" w:rsidP="005028DC">
            <w:pPr>
              <w:pStyle w:val="ListParagraph"/>
              <w:numPr>
                <w:ilvl w:val="0"/>
                <w:numId w:val="7"/>
              </w:numPr>
              <w:ind w:left="360" w:hanging="284"/>
              <w:rPr>
                <w:sz w:val="20"/>
                <w:szCs w:val="20"/>
              </w:rPr>
            </w:pPr>
            <w:r w:rsidRPr="007843EB">
              <w:rPr>
                <w:sz w:val="20"/>
                <w:szCs w:val="20"/>
              </w:rPr>
              <w:lastRenderedPageBreak/>
              <w:t xml:space="preserve">detailed arrangements to ensure that the relevant authorities and the public in the Member State likely to be significantly affected are informed and given an opportunity to forward their opinion within a reasonable time-frame. </w:t>
            </w:r>
          </w:p>
        </w:tc>
      </w:tr>
      <w:tr w:rsidR="00A644AF" w:rsidRPr="002E2A45" w14:paraId="33167EDC" w14:textId="77777777" w:rsidTr="00A644AF">
        <w:tc>
          <w:tcPr>
            <w:tcW w:w="1555" w:type="dxa"/>
            <w:shd w:val="clear" w:color="auto" w:fill="BDD6EE" w:themeFill="accent1" w:themeFillTint="66"/>
          </w:tcPr>
          <w:p w14:paraId="4C6541B8" w14:textId="77777777" w:rsidR="00A644AF" w:rsidRPr="007843EB" w:rsidRDefault="00A644AF" w:rsidP="004120C5">
            <w:pPr>
              <w:rPr>
                <w:i/>
                <w:sz w:val="20"/>
                <w:szCs w:val="20"/>
              </w:rPr>
            </w:pPr>
            <w:r w:rsidRPr="002E2A45">
              <w:rPr>
                <w:i/>
                <w:sz w:val="20"/>
                <w:szCs w:val="20"/>
              </w:rPr>
              <w:lastRenderedPageBreak/>
              <w:t>Post-decisio</w:t>
            </w:r>
            <w:r>
              <w:rPr>
                <w:i/>
                <w:sz w:val="20"/>
                <w:szCs w:val="20"/>
              </w:rPr>
              <w:t>n</w:t>
            </w:r>
          </w:p>
        </w:tc>
        <w:tc>
          <w:tcPr>
            <w:tcW w:w="11907" w:type="dxa"/>
            <w:gridSpan w:val="2"/>
            <w:shd w:val="clear" w:color="auto" w:fill="BDD6EE" w:themeFill="accent1" w:themeFillTint="66"/>
          </w:tcPr>
          <w:p w14:paraId="63970137" w14:textId="77777777" w:rsidR="00A644AF" w:rsidRPr="002E2A45" w:rsidRDefault="00A644AF" w:rsidP="004120C5">
            <w:pPr>
              <w:rPr>
                <w:sz w:val="20"/>
                <w:szCs w:val="20"/>
              </w:rPr>
            </w:pPr>
          </w:p>
        </w:tc>
      </w:tr>
      <w:tr w:rsidR="00A644AF" w:rsidRPr="003C3805" w14:paraId="2E15B412" w14:textId="77777777" w:rsidTr="00A644AF">
        <w:trPr>
          <w:trHeight w:val="2265"/>
        </w:trPr>
        <w:tc>
          <w:tcPr>
            <w:tcW w:w="1555" w:type="dxa"/>
            <w:vAlign w:val="center"/>
          </w:tcPr>
          <w:p w14:paraId="010D9CA3" w14:textId="77777777" w:rsidR="00A644AF" w:rsidRDefault="00A644AF" w:rsidP="00A644AF">
            <w:pPr>
              <w:rPr>
                <w:sz w:val="20"/>
                <w:szCs w:val="20"/>
              </w:rPr>
            </w:pPr>
            <w:r w:rsidRPr="002E2A45">
              <w:rPr>
                <w:sz w:val="20"/>
                <w:szCs w:val="20"/>
              </w:rPr>
              <w:t>Information on decision</w:t>
            </w:r>
          </w:p>
          <w:p w14:paraId="023EBD1C" w14:textId="77777777" w:rsidR="00A644AF" w:rsidRPr="002E2A45" w:rsidRDefault="00A644AF" w:rsidP="00A644AF">
            <w:pPr>
              <w:rPr>
                <w:sz w:val="20"/>
                <w:szCs w:val="20"/>
              </w:rPr>
            </w:pPr>
          </w:p>
        </w:tc>
        <w:tc>
          <w:tcPr>
            <w:tcW w:w="6945" w:type="dxa"/>
          </w:tcPr>
          <w:p w14:paraId="3BE98EE0" w14:textId="77777777" w:rsidR="00A644AF" w:rsidRPr="002E2A45" w:rsidRDefault="00A644AF" w:rsidP="004120C5">
            <w:pPr>
              <w:rPr>
                <w:sz w:val="20"/>
                <w:szCs w:val="20"/>
              </w:rPr>
            </w:pPr>
            <w:r>
              <w:rPr>
                <w:sz w:val="20"/>
                <w:szCs w:val="20"/>
              </w:rPr>
              <w:t>T</w:t>
            </w:r>
            <w:r w:rsidRPr="002E2A45">
              <w:rPr>
                <w:sz w:val="20"/>
                <w:szCs w:val="20"/>
              </w:rPr>
              <w:t xml:space="preserve">he relevant authority of the Member State where the project is to be implemented is to make available the following information: </w:t>
            </w:r>
          </w:p>
          <w:p w14:paraId="0A1AF317" w14:textId="77777777" w:rsidR="00A644AF" w:rsidRPr="003C3805" w:rsidRDefault="00A644AF" w:rsidP="005028DC">
            <w:pPr>
              <w:pStyle w:val="ListParagraph"/>
              <w:numPr>
                <w:ilvl w:val="1"/>
                <w:numId w:val="8"/>
              </w:numPr>
              <w:ind w:left="459" w:hanging="425"/>
              <w:rPr>
                <w:sz w:val="20"/>
                <w:szCs w:val="20"/>
              </w:rPr>
            </w:pPr>
            <w:r w:rsidRPr="003C3805">
              <w:rPr>
                <w:sz w:val="20"/>
                <w:szCs w:val="20"/>
              </w:rPr>
              <w:t xml:space="preserve">the content of the decision and any conditions attached thereto; </w:t>
            </w:r>
          </w:p>
          <w:p w14:paraId="46EC7E11" w14:textId="77777777" w:rsidR="00A644AF" w:rsidRPr="003C3805" w:rsidRDefault="00A644AF" w:rsidP="005028DC">
            <w:pPr>
              <w:pStyle w:val="ListParagraph"/>
              <w:numPr>
                <w:ilvl w:val="1"/>
                <w:numId w:val="8"/>
              </w:numPr>
              <w:ind w:left="459" w:hanging="425"/>
              <w:rPr>
                <w:sz w:val="20"/>
                <w:szCs w:val="20"/>
              </w:rPr>
            </w:pPr>
            <w:r w:rsidRPr="003C3805">
              <w:rPr>
                <w:sz w:val="20"/>
                <w:szCs w:val="20"/>
              </w:rPr>
              <w:t xml:space="preserve">the main reasons and considerations on which the decision is based, including information about the public participation process; </w:t>
            </w:r>
          </w:p>
          <w:p w14:paraId="79AD1B4D" w14:textId="77777777" w:rsidR="00A644AF" w:rsidRPr="00811A32" w:rsidRDefault="00A644AF" w:rsidP="005028DC">
            <w:pPr>
              <w:pStyle w:val="ListParagraph"/>
              <w:numPr>
                <w:ilvl w:val="1"/>
                <w:numId w:val="8"/>
              </w:numPr>
              <w:ind w:left="459" w:hanging="425"/>
              <w:rPr>
                <w:sz w:val="20"/>
                <w:szCs w:val="20"/>
              </w:rPr>
            </w:pPr>
            <w:r w:rsidRPr="003C3805">
              <w:rPr>
                <w:sz w:val="20"/>
                <w:szCs w:val="20"/>
              </w:rPr>
              <w:t>a description, where necessary, of the main measures to avoid, reduce and, if possible, offset the major adverse effects</w:t>
            </w:r>
            <w:r>
              <w:rPr>
                <w:sz w:val="20"/>
                <w:szCs w:val="20"/>
              </w:rPr>
              <w:t>.</w:t>
            </w:r>
          </w:p>
        </w:tc>
        <w:tc>
          <w:tcPr>
            <w:tcW w:w="4962" w:type="dxa"/>
          </w:tcPr>
          <w:p w14:paraId="00FD63F8" w14:textId="77777777" w:rsidR="00A644AF" w:rsidRDefault="00A644AF" w:rsidP="004120C5">
            <w:pPr>
              <w:rPr>
                <w:sz w:val="20"/>
                <w:szCs w:val="20"/>
              </w:rPr>
            </w:pPr>
            <w:r w:rsidRPr="002E2A45">
              <w:rPr>
                <w:sz w:val="20"/>
                <w:szCs w:val="20"/>
              </w:rPr>
              <w:t>Member State</w:t>
            </w:r>
            <w:r>
              <w:rPr>
                <w:sz w:val="20"/>
                <w:szCs w:val="20"/>
              </w:rPr>
              <w:t xml:space="preserve">s are </w:t>
            </w:r>
            <w:r w:rsidRPr="002E2A45">
              <w:rPr>
                <w:sz w:val="20"/>
                <w:szCs w:val="20"/>
              </w:rPr>
              <w:t xml:space="preserve">to ensure that any Member State consulted is informed </w:t>
            </w:r>
            <w:r>
              <w:rPr>
                <w:sz w:val="20"/>
                <w:szCs w:val="20"/>
              </w:rPr>
              <w:t xml:space="preserve">once the plan or programme is adopted, </w:t>
            </w:r>
            <w:r w:rsidRPr="002E2A45">
              <w:rPr>
                <w:sz w:val="20"/>
                <w:szCs w:val="20"/>
              </w:rPr>
              <w:t xml:space="preserve">and </w:t>
            </w:r>
            <w:r>
              <w:rPr>
                <w:sz w:val="20"/>
                <w:szCs w:val="20"/>
              </w:rPr>
              <w:t xml:space="preserve">to make the following items </w:t>
            </w:r>
            <w:r w:rsidRPr="002E2A45">
              <w:rPr>
                <w:sz w:val="20"/>
                <w:szCs w:val="20"/>
              </w:rPr>
              <w:t>available</w:t>
            </w:r>
            <w:r>
              <w:rPr>
                <w:sz w:val="20"/>
                <w:szCs w:val="20"/>
              </w:rPr>
              <w:t xml:space="preserve"> to those informed:</w:t>
            </w:r>
          </w:p>
          <w:p w14:paraId="13F0D279" w14:textId="77777777" w:rsidR="00A644AF" w:rsidRPr="003C3805" w:rsidRDefault="00A644AF" w:rsidP="005028DC">
            <w:pPr>
              <w:pStyle w:val="ListParagraph"/>
              <w:numPr>
                <w:ilvl w:val="0"/>
                <w:numId w:val="9"/>
              </w:numPr>
              <w:ind w:left="360" w:hanging="284"/>
              <w:rPr>
                <w:sz w:val="20"/>
                <w:szCs w:val="20"/>
              </w:rPr>
            </w:pPr>
            <w:r w:rsidRPr="003C3805">
              <w:rPr>
                <w:sz w:val="20"/>
                <w:szCs w:val="20"/>
              </w:rPr>
              <w:t>the adopted plan or programme, and;</w:t>
            </w:r>
          </w:p>
          <w:p w14:paraId="18C73A56" w14:textId="77777777" w:rsidR="00A644AF" w:rsidRDefault="00A644AF" w:rsidP="005028DC">
            <w:pPr>
              <w:pStyle w:val="ListParagraph"/>
              <w:numPr>
                <w:ilvl w:val="0"/>
                <w:numId w:val="9"/>
              </w:numPr>
              <w:ind w:left="360"/>
              <w:rPr>
                <w:sz w:val="20"/>
                <w:szCs w:val="20"/>
              </w:rPr>
            </w:pPr>
            <w:r w:rsidRPr="003C3805">
              <w:rPr>
                <w:sz w:val="20"/>
                <w:szCs w:val="20"/>
              </w:rPr>
              <w:t xml:space="preserve">a statement of adoption, summarising amongst </w:t>
            </w:r>
            <w:proofErr w:type="gramStart"/>
            <w:r w:rsidRPr="003C3805">
              <w:rPr>
                <w:sz w:val="20"/>
                <w:szCs w:val="20"/>
              </w:rPr>
              <w:t>others  how</w:t>
            </w:r>
            <w:proofErr w:type="gramEnd"/>
            <w:r w:rsidRPr="003C3805">
              <w:rPr>
                <w:sz w:val="20"/>
                <w:szCs w:val="20"/>
              </w:rPr>
              <w:t xml:space="preserve"> the results of the transboundary consultations have been taken into account</w:t>
            </w:r>
            <w:r>
              <w:rPr>
                <w:sz w:val="20"/>
                <w:szCs w:val="20"/>
              </w:rPr>
              <w:t>,</w:t>
            </w:r>
            <w:r w:rsidRPr="003C3805">
              <w:rPr>
                <w:sz w:val="20"/>
                <w:szCs w:val="20"/>
              </w:rPr>
              <w:t xml:space="preserve"> and the measures decided concerning monitoring.</w:t>
            </w:r>
          </w:p>
        </w:tc>
      </w:tr>
    </w:tbl>
    <w:p w14:paraId="11A9E8ED" w14:textId="77777777" w:rsidR="004B4119" w:rsidRDefault="004B4119" w:rsidP="00A644AF"/>
    <w:p w14:paraId="3E5987C7" w14:textId="77777777" w:rsidR="004B4119" w:rsidRDefault="004B4119">
      <w:r>
        <w:br w:type="page"/>
      </w:r>
    </w:p>
    <w:p w14:paraId="0BBABDEB" w14:textId="77777777" w:rsidR="004B4119" w:rsidRDefault="004B4119" w:rsidP="00A644AF">
      <w:pPr>
        <w:sectPr w:rsidR="004B4119" w:rsidSect="00B917DF">
          <w:pgSz w:w="16838" w:h="11906" w:orient="landscape"/>
          <w:pgMar w:top="1418" w:right="1418" w:bottom="1418" w:left="1418" w:header="709" w:footer="709" w:gutter="0"/>
          <w:cols w:space="708"/>
          <w:docGrid w:linePitch="360"/>
        </w:sectPr>
      </w:pPr>
    </w:p>
    <w:p w14:paraId="16148949" w14:textId="77777777" w:rsidR="008B3927" w:rsidRDefault="004B4119" w:rsidP="004B4119">
      <w:pPr>
        <w:spacing w:after="0" w:line="240" w:lineRule="auto"/>
        <w:rPr>
          <w:i/>
          <w:color w:val="1F4E79" w:themeColor="accent1" w:themeShade="80"/>
          <w:sz w:val="20"/>
          <w:szCs w:val="20"/>
        </w:rPr>
      </w:pPr>
      <w:r w:rsidRPr="004B4119">
        <w:rPr>
          <w:i/>
          <w:color w:val="1F4E79" w:themeColor="accent1" w:themeShade="80"/>
          <w:sz w:val="20"/>
          <w:szCs w:val="20"/>
        </w:rPr>
        <w:lastRenderedPageBreak/>
        <w:t xml:space="preserve">Table 3: Transboundary SEA practice in the EU Member States </w:t>
      </w:r>
    </w:p>
    <w:tbl>
      <w:tblPr>
        <w:tblStyle w:val="TableGrid"/>
        <w:tblW w:w="0" w:type="auto"/>
        <w:tblLook w:val="04A0" w:firstRow="1" w:lastRow="0" w:firstColumn="1" w:lastColumn="0" w:noHBand="0" w:noVBand="1"/>
      </w:tblPr>
      <w:tblGrid>
        <w:gridCol w:w="1271"/>
        <w:gridCol w:w="7768"/>
      </w:tblGrid>
      <w:tr w:rsidR="004B4119" w:rsidRPr="00A714B0" w14:paraId="0EE87A40" w14:textId="77777777" w:rsidTr="004B4119">
        <w:tc>
          <w:tcPr>
            <w:tcW w:w="1271" w:type="dxa"/>
            <w:shd w:val="clear" w:color="auto" w:fill="9CC2E5" w:themeFill="accent1" w:themeFillTint="99"/>
          </w:tcPr>
          <w:p w14:paraId="2CE36FBE" w14:textId="77777777" w:rsidR="004B4119" w:rsidRPr="0018258B" w:rsidRDefault="004B4119" w:rsidP="00CC3BD3">
            <w:pPr>
              <w:jc w:val="both"/>
              <w:rPr>
                <w:rFonts w:cstheme="minorHAnsi"/>
                <w:b/>
                <w:sz w:val="20"/>
                <w:szCs w:val="20"/>
              </w:rPr>
            </w:pPr>
            <w:r w:rsidRPr="0018258B">
              <w:rPr>
                <w:rFonts w:cstheme="minorHAnsi"/>
                <w:b/>
                <w:sz w:val="20"/>
                <w:szCs w:val="20"/>
              </w:rPr>
              <w:t>Member State</w:t>
            </w:r>
          </w:p>
        </w:tc>
        <w:tc>
          <w:tcPr>
            <w:tcW w:w="7768" w:type="dxa"/>
            <w:shd w:val="clear" w:color="auto" w:fill="9CC2E5" w:themeFill="accent1" w:themeFillTint="99"/>
          </w:tcPr>
          <w:p w14:paraId="2C4284AC" w14:textId="77777777" w:rsidR="004B4119" w:rsidRPr="0018258B" w:rsidRDefault="004B4119" w:rsidP="00CC3BD3">
            <w:pPr>
              <w:jc w:val="both"/>
              <w:rPr>
                <w:rFonts w:cstheme="minorHAnsi"/>
                <w:b/>
                <w:sz w:val="20"/>
                <w:szCs w:val="20"/>
              </w:rPr>
            </w:pPr>
            <w:r w:rsidRPr="0018258B">
              <w:rPr>
                <w:rFonts w:cstheme="minorHAnsi"/>
                <w:b/>
                <w:sz w:val="20"/>
                <w:szCs w:val="20"/>
              </w:rPr>
              <w:t>Transboundary SEA practice</w:t>
            </w:r>
          </w:p>
        </w:tc>
      </w:tr>
      <w:tr w:rsidR="004B4119" w:rsidRPr="00A714B0" w14:paraId="591E070C" w14:textId="77777777" w:rsidTr="004B4119">
        <w:tc>
          <w:tcPr>
            <w:tcW w:w="1271" w:type="dxa"/>
          </w:tcPr>
          <w:p w14:paraId="07A6B2D5" w14:textId="77777777" w:rsidR="004B4119" w:rsidRPr="00A714B0" w:rsidRDefault="004B4119" w:rsidP="00CC3BD3">
            <w:pPr>
              <w:jc w:val="both"/>
              <w:rPr>
                <w:rFonts w:cstheme="minorHAnsi"/>
                <w:sz w:val="20"/>
                <w:szCs w:val="20"/>
              </w:rPr>
            </w:pPr>
            <w:r>
              <w:rPr>
                <w:rFonts w:cstheme="minorHAnsi"/>
                <w:sz w:val="20"/>
                <w:szCs w:val="20"/>
              </w:rPr>
              <w:t>Belgium</w:t>
            </w:r>
          </w:p>
        </w:tc>
        <w:tc>
          <w:tcPr>
            <w:tcW w:w="7768" w:type="dxa"/>
          </w:tcPr>
          <w:p w14:paraId="21275718" w14:textId="38C14B53" w:rsidR="004B4119" w:rsidRDefault="004B4119" w:rsidP="00CC3BD3">
            <w:pPr>
              <w:jc w:val="both"/>
              <w:rPr>
                <w:rFonts w:cstheme="minorHAnsi"/>
                <w:sz w:val="20"/>
                <w:szCs w:val="20"/>
              </w:rPr>
            </w:pPr>
            <w:r>
              <w:rPr>
                <w:rFonts w:cstheme="minorHAnsi"/>
                <w:sz w:val="20"/>
                <w:szCs w:val="20"/>
              </w:rPr>
              <w:t>A 45 day timeframe for feedback on the notification is adopted.</w:t>
            </w:r>
          </w:p>
          <w:p w14:paraId="7D44F2A8" w14:textId="6A737552" w:rsidR="004B4119" w:rsidRPr="00A714B0" w:rsidRDefault="004B4119" w:rsidP="00352751">
            <w:pPr>
              <w:jc w:val="both"/>
              <w:rPr>
                <w:rFonts w:cstheme="minorHAnsi"/>
                <w:sz w:val="20"/>
                <w:szCs w:val="20"/>
              </w:rPr>
            </w:pPr>
            <w:r>
              <w:rPr>
                <w:rFonts w:cstheme="minorHAnsi"/>
                <w:sz w:val="20"/>
                <w:szCs w:val="20"/>
              </w:rPr>
              <w:t xml:space="preserve">Within the Flanders Region the timeframe for public participation takes 60 days. </w:t>
            </w:r>
          </w:p>
        </w:tc>
      </w:tr>
      <w:tr w:rsidR="004B4119" w:rsidRPr="00A714B0" w14:paraId="32414E04" w14:textId="77777777" w:rsidTr="004B4119">
        <w:tc>
          <w:tcPr>
            <w:tcW w:w="1271" w:type="dxa"/>
          </w:tcPr>
          <w:p w14:paraId="7001467A" w14:textId="77777777" w:rsidR="004B4119" w:rsidRPr="00A714B0" w:rsidRDefault="004B4119" w:rsidP="00CC3BD3">
            <w:pPr>
              <w:jc w:val="both"/>
              <w:rPr>
                <w:rFonts w:cstheme="minorHAnsi"/>
                <w:sz w:val="20"/>
                <w:szCs w:val="20"/>
              </w:rPr>
            </w:pPr>
            <w:r>
              <w:rPr>
                <w:rFonts w:cstheme="minorHAnsi"/>
                <w:sz w:val="20"/>
                <w:szCs w:val="20"/>
              </w:rPr>
              <w:t>Czech Republic</w:t>
            </w:r>
          </w:p>
        </w:tc>
        <w:tc>
          <w:tcPr>
            <w:tcW w:w="7768" w:type="dxa"/>
          </w:tcPr>
          <w:p w14:paraId="7BF99E78" w14:textId="77777777" w:rsidR="004B4119" w:rsidRPr="00A714B0" w:rsidRDefault="004B4119" w:rsidP="00CC3BD3">
            <w:pPr>
              <w:jc w:val="both"/>
              <w:rPr>
                <w:rFonts w:cstheme="minorHAnsi"/>
                <w:sz w:val="20"/>
                <w:szCs w:val="20"/>
              </w:rPr>
            </w:pPr>
            <w:r>
              <w:rPr>
                <w:rFonts w:cstheme="minorHAnsi"/>
                <w:sz w:val="20"/>
                <w:szCs w:val="20"/>
              </w:rPr>
              <w:t xml:space="preserve">For plans and programs affecting energy or transport, notification is carried out during scoping to enable the affected country to comment at an early stage of the assessment. </w:t>
            </w:r>
          </w:p>
        </w:tc>
      </w:tr>
      <w:tr w:rsidR="004B4119" w:rsidRPr="00A714B0" w14:paraId="62FC7108" w14:textId="77777777" w:rsidTr="004B4119">
        <w:tc>
          <w:tcPr>
            <w:tcW w:w="1271" w:type="dxa"/>
          </w:tcPr>
          <w:p w14:paraId="0E5AC300" w14:textId="77777777" w:rsidR="004B4119" w:rsidRPr="00A714B0" w:rsidRDefault="004B4119" w:rsidP="00CC3BD3">
            <w:pPr>
              <w:jc w:val="both"/>
              <w:rPr>
                <w:rFonts w:cstheme="minorHAnsi"/>
                <w:sz w:val="20"/>
                <w:szCs w:val="20"/>
              </w:rPr>
            </w:pPr>
            <w:r>
              <w:rPr>
                <w:rFonts w:cstheme="minorHAnsi"/>
                <w:sz w:val="20"/>
                <w:szCs w:val="20"/>
              </w:rPr>
              <w:t>Germany</w:t>
            </w:r>
          </w:p>
        </w:tc>
        <w:tc>
          <w:tcPr>
            <w:tcW w:w="7768" w:type="dxa"/>
          </w:tcPr>
          <w:p w14:paraId="4AF79EC8" w14:textId="77777777" w:rsidR="004B4119" w:rsidRDefault="004B4119" w:rsidP="00CC3BD3">
            <w:pPr>
              <w:jc w:val="both"/>
              <w:rPr>
                <w:rFonts w:cstheme="minorHAnsi"/>
                <w:sz w:val="20"/>
                <w:szCs w:val="20"/>
              </w:rPr>
            </w:pPr>
            <w:r>
              <w:rPr>
                <w:rFonts w:cstheme="minorHAnsi"/>
                <w:sz w:val="20"/>
                <w:szCs w:val="20"/>
              </w:rPr>
              <w:t xml:space="preserve">Authorities of affected state may be invited to participate in the scoping stage of the assessment. </w:t>
            </w:r>
          </w:p>
          <w:p w14:paraId="189338F3" w14:textId="77777777" w:rsidR="004B4119" w:rsidRPr="00A714B0" w:rsidRDefault="004B4119" w:rsidP="00CC3BD3">
            <w:pPr>
              <w:rPr>
                <w:rFonts w:cstheme="minorHAnsi"/>
                <w:sz w:val="20"/>
                <w:szCs w:val="20"/>
              </w:rPr>
            </w:pPr>
            <w:r>
              <w:rPr>
                <w:rFonts w:cstheme="minorHAnsi"/>
                <w:sz w:val="20"/>
                <w:szCs w:val="20"/>
              </w:rPr>
              <w:t xml:space="preserve">When Germany is the affected country it is the responsibility of the competent German authority to specify the authority in the other State to which comments are to be sent. </w:t>
            </w:r>
          </w:p>
        </w:tc>
      </w:tr>
      <w:tr w:rsidR="004B4119" w:rsidRPr="00A714B0" w14:paraId="12DC1818" w14:textId="77777777" w:rsidTr="004B4119">
        <w:tc>
          <w:tcPr>
            <w:tcW w:w="1271" w:type="dxa"/>
          </w:tcPr>
          <w:p w14:paraId="098926F0" w14:textId="77777777" w:rsidR="004B4119" w:rsidRPr="00A714B0" w:rsidRDefault="004B4119" w:rsidP="00CC3BD3">
            <w:pPr>
              <w:jc w:val="both"/>
              <w:rPr>
                <w:rFonts w:cstheme="minorHAnsi"/>
                <w:sz w:val="20"/>
                <w:szCs w:val="20"/>
              </w:rPr>
            </w:pPr>
            <w:r>
              <w:rPr>
                <w:rFonts w:cstheme="minorHAnsi"/>
                <w:sz w:val="20"/>
                <w:szCs w:val="20"/>
              </w:rPr>
              <w:t>Hungary</w:t>
            </w:r>
          </w:p>
        </w:tc>
        <w:tc>
          <w:tcPr>
            <w:tcW w:w="7768" w:type="dxa"/>
          </w:tcPr>
          <w:p w14:paraId="6DA76F4B" w14:textId="77777777" w:rsidR="004B4119" w:rsidRDefault="004B4119" w:rsidP="00CC3BD3">
            <w:pPr>
              <w:rPr>
                <w:rFonts w:cstheme="minorHAnsi"/>
                <w:sz w:val="20"/>
                <w:szCs w:val="20"/>
              </w:rPr>
            </w:pPr>
            <w:r>
              <w:rPr>
                <w:rFonts w:cstheme="minorHAnsi"/>
                <w:sz w:val="20"/>
                <w:szCs w:val="20"/>
              </w:rPr>
              <w:t>Transboundary consultations are carried out usually at the same time as the domestic ones and the same rules apply as the domestic phase in terms of deadlines for each step.</w:t>
            </w:r>
          </w:p>
          <w:p w14:paraId="4B659398" w14:textId="77777777" w:rsidR="004B4119" w:rsidRPr="00A714B0" w:rsidRDefault="004B4119" w:rsidP="00CC3BD3">
            <w:pPr>
              <w:rPr>
                <w:rFonts w:cstheme="minorHAnsi"/>
                <w:sz w:val="20"/>
                <w:szCs w:val="20"/>
              </w:rPr>
            </w:pPr>
            <w:r>
              <w:rPr>
                <w:rFonts w:cstheme="minorHAnsi"/>
                <w:sz w:val="20"/>
                <w:szCs w:val="20"/>
              </w:rPr>
              <w:t>The Ministry for Agriculture has a dedicated website to host all SEA documentation received as an affected party, for public dissemination.  Domestic plans or programs with Environment Reports are available on the respective proponent’s website.</w:t>
            </w:r>
          </w:p>
        </w:tc>
      </w:tr>
      <w:tr w:rsidR="004B4119" w:rsidRPr="00A714B0" w14:paraId="34ED2749" w14:textId="77777777" w:rsidTr="004B4119">
        <w:tc>
          <w:tcPr>
            <w:tcW w:w="1271" w:type="dxa"/>
          </w:tcPr>
          <w:p w14:paraId="20951D73" w14:textId="77777777" w:rsidR="004B4119" w:rsidRPr="00A714B0" w:rsidRDefault="004B4119" w:rsidP="00CC3BD3">
            <w:pPr>
              <w:rPr>
                <w:rFonts w:cstheme="minorHAnsi"/>
                <w:sz w:val="20"/>
                <w:szCs w:val="20"/>
              </w:rPr>
            </w:pPr>
            <w:r>
              <w:rPr>
                <w:rFonts w:cstheme="minorHAnsi"/>
                <w:sz w:val="20"/>
                <w:szCs w:val="20"/>
              </w:rPr>
              <w:t>Ireland</w:t>
            </w:r>
          </w:p>
        </w:tc>
        <w:tc>
          <w:tcPr>
            <w:tcW w:w="7768" w:type="dxa"/>
          </w:tcPr>
          <w:p w14:paraId="13977842" w14:textId="77777777" w:rsidR="004B4119" w:rsidRPr="00A714B0" w:rsidRDefault="004B4119" w:rsidP="00CC3BD3">
            <w:pPr>
              <w:rPr>
                <w:rFonts w:cstheme="minorHAnsi"/>
                <w:sz w:val="20"/>
                <w:szCs w:val="20"/>
              </w:rPr>
            </w:pPr>
            <w:r w:rsidRPr="00D929B0">
              <w:rPr>
                <w:rFonts w:cstheme="minorHAnsi"/>
                <w:sz w:val="20"/>
                <w:szCs w:val="20"/>
              </w:rPr>
              <w:t>There are informal arrangements with Northern Ireland on transboundary consultation established on a case by case basis to promote early engagement with Northern Ireland environmental authorities in the SEA process. In practice this takes place at the scoping stage. Transboundary consultation with other Members’ States occurs on a case by case basis</w:t>
            </w:r>
          </w:p>
        </w:tc>
      </w:tr>
      <w:tr w:rsidR="004B4119" w:rsidRPr="00A714B0" w14:paraId="7A14052D" w14:textId="77777777" w:rsidTr="004B4119">
        <w:tc>
          <w:tcPr>
            <w:tcW w:w="1271" w:type="dxa"/>
          </w:tcPr>
          <w:p w14:paraId="0908F4EA" w14:textId="77777777" w:rsidR="004B4119" w:rsidRPr="00A714B0" w:rsidRDefault="004B4119" w:rsidP="00CC3BD3">
            <w:pPr>
              <w:jc w:val="both"/>
              <w:rPr>
                <w:rFonts w:cstheme="minorHAnsi"/>
                <w:sz w:val="20"/>
                <w:szCs w:val="20"/>
              </w:rPr>
            </w:pPr>
            <w:r>
              <w:rPr>
                <w:rFonts w:cstheme="minorHAnsi"/>
                <w:sz w:val="20"/>
                <w:szCs w:val="20"/>
              </w:rPr>
              <w:t>Lithuania</w:t>
            </w:r>
          </w:p>
        </w:tc>
        <w:tc>
          <w:tcPr>
            <w:tcW w:w="7768" w:type="dxa"/>
          </w:tcPr>
          <w:p w14:paraId="37A85CDF" w14:textId="77777777" w:rsidR="004B4119" w:rsidRDefault="004B4119" w:rsidP="00CC3BD3">
            <w:pPr>
              <w:rPr>
                <w:rFonts w:cstheme="minorHAnsi"/>
                <w:sz w:val="20"/>
                <w:szCs w:val="20"/>
              </w:rPr>
            </w:pPr>
            <w:r w:rsidRPr="00D929B0">
              <w:rPr>
                <w:rFonts w:cstheme="minorHAnsi"/>
                <w:sz w:val="20"/>
                <w:szCs w:val="20"/>
              </w:rPr>
              <w:t xml:space="preserve">The plan proponent supplies to the Ministry of the Environment information about the plan or programme under preparation </w:t>
            </w:r>
            <w:r>
              <w:rPr>
                <w:rFonts w:cstheme="minorHAnsi"/>
                <w:sz w:val="20"/>
                <w:szCs w:val="20"/>
              </w:rPr>
              <w:t xml:space="preserve">which in turn has 5 days from its receipt to </w:t>
            </w:r>
            <w:r w:rsidRPr="00D929B0">
              <w:rPr>
                <w:rFonts w:cstheme="minorHAnsi"/>
                <w:sz w:val="20"/>
                <w:szCs w:val="20"/>
              </w:rPr>
              <w:t xml:space="preserve">examine the information supplied </w:t>
            </w:r>
            <w:r>
              <w:rPr>
                <w:rFonts w:cstheme="minorHAnsi"/>
                <w:sz w:val="20"/>
                <w:szCs w:val="20"/>
              </w:rPr>
              <w:t>and</w:t>
            </w:r>
            <w:r w:rsidRPr="00D929B0">
              <w:rPr>
                <w:rFonts w:cstheme="minorHAnsi"/>
                <w:sz w:val="20"/>
                <w:szCs w:val="20"/>
              </w:rPr>
              <w:t xml:space="preserve"> decide whether to initiate a transboundary consultation process and notifies its decision to the </w:t>
            </w:r>
            <w:r>
              <w:rPr>
                <w:rFonts w:cstheme="minorHAnsi"/>
                <w:sz w:val="20"/>
                <w:szCs w:val="20"/>
              </w:rPr>
              <w:t xml:space="preserve">plan proponent </w:t>
            </w:r>
            <w:r w:rsidRPr="00D929B0">
              <w:rPr>
                <w:rFonts w:cstheme="minorHAnsi"/>
                <w:sz w:val="20"/>
                <w:szCs w:val="20"/>
              </w:rPr>
              <w:t>and the assessing stakeholders.</w:t>
            </w:r>
          </w:p>
          <w:p w14:paraId="50FFA2C3" w14:textId="77777777" w:rsidR="004B4119" w:rsidRPr="00A714B0" w:rsidRDefault="004B4119" w:rsidP="00CC3BD3">
            <w:pPr>
              <w:rPr>
                <w:rFonts w:cstheme="minorHAnsi"/>
                <w:sz w:val="20"/>
                <w:szCs w:val="20"/>
              </w:rPr>
            </w:pPr>
            <w:r>
              <w:rPr>
                <w:rFonts w:cstheme="minorHAnsi"/>
                <w:sz w:val="20"/>
                <w:szCs w:val="20"/>
              </w:rPr>
              <w:t>Transboundary consultations are held by the plan proponent with the participation of the Ministry of Environment.</w:t>
            </w:r>
          </w:p>
        </w:tc>
      </w:tr>
      <w:tr w:rsidR="004B4119" w:rsidRPr="00A714B0" w14:paraId="714EEE2C" w14:textId="77777777" w:rsidTr="004B4119">
        <w:tc>
          <w:tcPr>
            <w:tcW w:w="1271" w:type="dxa"/>
          </w:tcPr>
          <w:p w14:paraId="6D179697" w14:textId="77777777" w:rsidR="004B4119" w:rsidRPr="00A714B0" w:rsidRDefault="004B4119" w:rsidP="00CC3BD3">
            <w:pPr>
              <w:jc w:val="both"/>
              <w:rPr>
                <w:rFonts w:cstheme="minorHAnsi"/>
                <w:sz w:val="20"/>
                <w:szCs w:val="20"/>
              </w:rPr>
            </w:pPr>
            <w:r>
              <w:rPr>
                <w:rFonts w:cstheme="minorHAnsi"/>
                <w:sz w:val="20"/>
                <w:szCs w:val="20"/>
              </w:rPr>
              <w:t>Netherlands</w:t>
            </w:r>
          </w:p>
        </w:tc>
        <w:tc>
          <w:tcPr>
            <w:tcW w:w="7768" w:type="dxa"/>
          </w:tcPr>
          <w:p w14:paraId="3CF919D0" w14:textId="77777777" w:rsidR="004B4119" w:rsidRDefault="004B4119" w:rsidP="00CC3BD3">
            <w:pPr>
              <w:jc w:val="both"/>
              <w:rPr>
                <w:rFonts w:cstheme="minorHAnsi"/>
                <w:sz w:val="20"/>
                <w:szCs w:val="20"/>
              </w:rPr>
            </w:pPr>
            <w:r>
              <w:rPr>
                <w:rFonts w:cstheme="minorHAnsi"/>
                <w:sz w:val="20"/>
                <w:szCs w:val="20"/>
              </w:rPr>
              <w:t>The first step is often an ‘informal notification’ giving information on the plan or programme and when available information on the possible transboundary effects. This is followed by the notification at scoping stage which enables the affected Party to participate at an early stage.</w:t>
            </w:r>
          </w:p>
          <w:p w14:paraId="3B601D40" w14:textId="77777777" w:rsidR="004B4119" w:rsidRPr="00A714B0" w:rsidRDefault="004B4119" w:rsidP="00CC3BD3">
            <w:pPr>
              <w:jc w:val="both"/>
              <w:rPr>
                <w:rFonts w:cstheme="minorHAnsi"/>
                <w:sz w:val="20"/>
                <w:szCs w:val="20"/>
              </w:rPr>
            </w:pPr>
            <w:r>
              <w:rPr>
                <w:rFonts w:cstheme="minorHAnsi"/>
                <w:sz w:val="20"/>
                <w:szCs w:val="20"/>
              </w:rPr>
              <w:t>Specific agreements exist with the Flanders Region and Germany.</w:t>
            </w:r>
          </w:p>
        </w:tc>
      </w:tr>
      <w:tr w:rsidR="004B4119" w:rsidRPr="00A714B0" w14:paraId="2F314291" w14:textId="77777777" w:rsidTr="004B4119">
        <w:tc>
          <w:tcPr>
            <w:tcW w:w="1271" w:type="dxa"/>
          </w:tcPr>
          <w:p w14:paraId="7C140A96" w14:textId="77777777" w:rsidR="004B4119" w:rsidRPr="00A714B0" w:rsidRDefault="004B4119" w:rsidP="00CC3BD3">
            <w:pPr>
              <w:rPr>
                <w:rFonts w:cstheme="minorHAnsi"/>
                <w:sz w:val="20"/>
                <w:szCs w:val="20"/>
              </w:rPr>
            </w:pPr>
            <w:r>
              <w:rPr>
                <w:rFonts w:cstheme="minorHAnsi"/>
                <w:sz w:val="20"/>
                <w:szCs w:val="20"/>
              </w:rPr>
              <w:t>Poland</w:t>
            </w:r>
          </w:p>
        </w:tc>
        <w:tc>
          <w:tcPr>
            <w:tcW w:w="7768" w:type="dxa"/>
          </w:tcPr>
          <w:p w14:paraId="27E71F65" w14:textId="77777777" w:rsidR="004B4119" w:rsidRDefault="004B4119" w:rsidP="00CC3BD3">
            <w:pPr>
              <w:jc w:val="both"/>
              <w:rPr>
                <w:rFonts w:cstheme="minorHAnsi"/>
                <w:sz w:val="20"/>
                <w:szCs w:val="20"/>
              </w:rPr>
            </w:pPr>
            <w:r>
              <w:rPr>
                <w:rFonts w:cstheme="minorHAnsi"/>
                <w:sz w:val="20"/>
                <w:szCs w:val="20"/>
              </w:rPr>
              <w:t>The documentation submitted in the notification has to be in the language of the affected country. Consultations are normally undertaken by the authority which carries out the SEA but under certain circumstances, such consultations may be carried out by the General Director of Environment Protection.</w:t>
            </w:r>
          </w:p>
          <w:p w14:paraId="68AC25C1" w14:textId="77777777" w:rsidR="004B4119" w:rsidRPr="00A714B0" w:rsidRDefault="004B4119" w:rsidP="00CC3BD3">
            <w:pPr>
              <w:jc w:val="both"/>
              <w:rPr>
                <w:rFonts w:cstheme="minorHAnsi"/>
                <w:sz w:val="20"/>
                <w:szCs w:val="20"/>
              </w:rPr>
            </w:pPr>
          </w:p>
        </w:tc>
      </w:tr>
      <w:tr w:rsidR="004B4119" w:rsidRPr="00A714B0" w14:paraId="6F627DCB" w14:textId="77777777" w:rsidTr="004B4119">
        <w:tc>
          <w:tcPr>
            <w:tcW w:w="1271" w:type="dxa"/>
          </w:tcPr>
          <w:p w14:paraId="0FD38C45" w14:textId="77777777" w:rsidR="004B4119" w:rsidRPr="00A714B0" w:rsidRDefault="004B4119" w:rsidP="00CC3BD3">
            <w:pPr>
              <w:jc w:val="both"/>
              <w:rPr>
                <w:rFonts w:cstheme="minorHAnsi"/>
                <w:sz w:val="20"/>
                <w:szCs w:val="20"/>
              </w:rPr>
            </w:pPr>
            <w:r>
              <w:rPr>
                <w:rFonts w:cstheme="minorHAnsi"/>
                <w:sz w:val="20"/>
                <w:szCs w:val="20"/>
              </w:rPr>
              <w:t>Portugal</w:t>
            </w:r>
          </w:p>
        </w:tc>
        <w:tc>
          <w:tcPr>
            <w:tcW w:w="7768" w:type="dxa"/>
          </w:tcPr>
          <w:p w14:paraId="41B8F381" w14:textId="77777777" w:rsidR="004B4119" w:rsidRPr="00A714B0" w:rsidRDefault="004B4119" w:rsidP="00CC3BD3">
            <w:pPr>
              <w:rPr>
                <w:rFonts w:cstheme="minorHAnsi"/>
                <w:sz w:val="20"/>
                <w:szCs w:val="20"/>
              </w:rPr>
            </w:pPr>
            <w:r w:rsidRPr="003C6A33">
              <w:rPr>
                <w:rFonts w:cstheme="minorHAnsi"/>
                <w:sz w:val="20"/>
                <w:szCs w:val="20"/>
              </w:rPr>
              <w:t>A bilateral protocol has been signed between Portugal and Spain in 2008 in order to simplify the communication formalities, allowing documents and data to be sent directly to the national competent authorities, in parallel with the formal communications made through the competent services of the Ministries of Foreign Affairs. The bilateral protocol establishes a period of 30 days for the affected Party to express an interest in participating in the SEA process. After receiving the documents, the affected Party has a three month period to express its opinion</w:t>
            </w:r>
            <w:r w:rsidRPr="003C6A33">
              <w:t>.</w:t>
            </w:r>
            <w:r>
              <w:rPr>
                <w:rFonts w:cstheme="minorHAnsi"/>
                <w:sz w:val="20"/>
                <w:szCs w:val="20"/>
              </w:rPr>
              <w:t xml:space="preserve"> With other transboundary situations, the specific procedures set in the S</w:t>
            </w:r>
            <w:r w:rsidRPr="003C6A33">
              <w:rPr>
                <w:rFonts w:cstheme="minorHAnsi"/>
                <w:sz w:val="20"/>
                <w:szCs w:val="20"/>
              </w:rPr>
              <w:t xml:space="preserve">EA Decree </w:t>
            </w:r>
            <w:r>
              <w:rPr>
                <w:rFonts w:cstheme="minorHAnsi"/>
                <w:sz w:val="20"/>
                <w:szCs w:val="20"/>
              </w:rPr>
              <w:t>are followed.</w:t>
            </w:r>
          </w:p>
        </w:tc>
      </w:tr>
      <w:tr w:rsidR="004B4119" w:rsidRPr="00A714B0" w14:paraId="46A1BDC1" w14:textId="77777777" w:rsidTr="004B4119">
        <w:tc>
          <w:tcPr>
            <w:tcW w:w="1271" w:type="dxa"/>
          </w:tcPr>
          <w:p w14:paraId="3080BE19" w14:textId="77777777" w:rsidR="004B4119" w:rsidRPr="00A714B0" w:rsidRDefault="004B4119" w:rsidP="00CC3BD3">
            <w:pPr>
              <w:jc w:val="both"/>
              <w:rPr>
                <w:rFonts w:cstheme="minorHAnsi"/>
                <w:sz w:val="20"/>
                <w:szCs w:val="20"/>
              </w:rPr>
            </w:pPr>
            <w:r>
              <w:rPr>
                <w:rFonts w:cstheme="minorHAnsi"/>
                <w:sz w:val="20"/>
                <w:szCs w:val="20"/>
              </w:rPr>
              <w:t>Romania</w:t>
            </w:r>
          </w:p>
        </w:tc>
        <w:tc>
          <w:tcPr>
            <w:tcW w:w="7768" w:type="dxa"/>
          </w:tcPr>
          <w:p w14:paraId="5609878B" w14:textId="4EFE7DF0" w:rsidR="004B4119" w:rsidRPr="00A714B0" w:rsidRDefault="004B4119" w:rsidP="00CC3BD3">
            <w:pPr>
              <w:rPr>
                <w:rFonts w:cstheme="minorHAnsi"/>
                <w:sz w:val="20"/>
                <w:szCs w:val="20"/>
              </w:rPr>
            </w:pPr>
            <w:r>
              <w:rPr>
                <w:rFonts w:cstheme="minorHAnsi"/>
                <w:sz w:val="20"/>
                <w:szCs w:val="20"/>
              </w:rPr>
              <w:t>Transboundary consultations are within the responsibility of the authority propos</w:t>
            </w:r>
            <w:r w:rsidR="00352751">
              <w:rPr>
                <w:rFonts w:cstheme="minorHAnsi"/>
                <w:sz w:val="20"/>
                <w:szCs w:val="20"/>
              </w:rPr>
              <w:t>ing the plan or programme. Time</w:t>
            </w:r>
            <w:r>
              <w:rPr>
                <w:rFonts w:cstheme="minorHAnsi"/>
                <w:sz w:val="20"/>
                <w:szCs w:val="20"/>
              </w:rPr>
              <w:t>frames are established on a case-by-case basis.</w:t>
            </w:r>
            <w:r w:rsidRPr="00A458ED">
              <w:rPr>
                <w:rFonts w:cstheme="minorHAnsi"/>
                <w:sz w:val="20"/>
                <w:szCs w:val="20"/>
              </w:rPr>
              <w:t xml:space="preserve"> There are no bilateral SEA agreements, however, the Ministry of Foreign Affairs, in its role as the central public authority managing Romanian foreign relations, supports the central public authority promoting the plan/programme and makes the necessary arrangements for transboundary consultation.</w:t>
            </w:r>
          </w:p>
        </w:tc>
      </w:tr>
      <w:tr w:rsidR="004B4119" w:rsidRPr="00A714B0" w14:paraId="1C99863F" w14:textId="77777777" w:rsidTr="004B4119">
        <w:tc>
          <w:tcPr>
            <w:tcW w:w="1271" w:type="dxa"/>
          </w:tcPr>
          <w:p w14:paraId="45F98249" w14:textId="77777777" w:rsidR="004B4119" w:rsidRPr="00A714B0" w:rsidRDefault="004B4119" w:rsidP="00CC3BD3">
            <w:pPr>
              <w:jc w:val="both"/>
              <w:rPr>
                <w:rFonts w:cstheme="minorHAnsi"/>
                <w:sz w:val="20"/>
                <w:szCs w:val="20"/>
              </w:rPr>
            </w:pPr>
            <w:r>
              <w:rPr>
                <w:rFonts w:cstheme="minorHAnsi"/>
                <w:sz w:val="20"/>
                <w:szCs w:val="20"/>
              </w:rPr>
              <w:t>Slovenia</w:t>
            </w:r>
          </w:p>
        </w:tc>
        <w:tc>
          <w:tcPr>
            <w:tcW w:w="7768" w:type="dxa"/>
          </w:tcPr>
          <w:p w14:paraId="1007F6F3" w14:textId="77777777" w:rsidR="004B4119" w:rsidRPr="00A714B0" w:rsidRDefault="004B4119" w:rsidP="00CC3BD3">
            <w:pPr>
              <w:jc w:val="both"/>
              <w:rPr>
                <w:rFonts w:cstheme="minorHAnsi"/>
                <w:sz w:val="20"/>
                <w:szCs w:val="20"/>
              </w:rPr>
            </w:pPr>
            <w:r>
              <w:rPr>
                <w:rFonts w:cstheme="minorHAnsi"/>
                <w:sz w:val="20"/>
                <w:szCs w:val="20"/>
              </w:rPr>
              <w:t>Information is sent in advance but consultations start after the environmental report is sent.</w:t>
            </w:r>
          </w:p>
        </w:tc>
      </w:tr>
      <w:tr w:rsidR="004B4119" w:rsidRPr="00A714B0" w14:paraId="27AA4AC2" w14:textId="77777777" w:rsidTr="004B4119">
        <w:tc>
          <w:tcPr>
            <w:tcW w:w="1271" w:type="dxa"/>
          </w:tcPr>
          <w:p w14:paraId="48BFDAAE" w14:textId="77777777" w:rsidR="004B4119" w:rsidRPr="00A714B0" w:rsidRDefault="004B4119" w:rsidP="00CC3BD3">
            <w:pPr>
              <w:jc w:val="both"/>
              <w:rPr>
                <w:rFonts w:cstheme="minorHAnsi"/>
                <w:sz w:val="20"/>
                <w:szCs w:val="20"/>
              </w:rPr>
            </w:pPr>
            <w:r>
              <w:rPr>
                <w:rFonts w:cstheme="minorHAnsi"/>
                <w:sz w:val="20"/>
                <w:szCs w:val="20"/>
              </w:rPr>
              <w:t>Slovakia</w:t>
            </w:r>
          </w:p>
        </w:tc>
        <w:tc>
          <w:tcPr>
            <w:tcW w:w="7768" w:type="dxa"/>
          </w:tcPr>
          <w:p w14:paraId="03351D1B" w14:textId="693EA9CE" w:rsidR="004B4119" w:rsidRPr="00A714B0" w:rsidRDefault="00352751" w:rsidP="00CC3BD3">
            <w:pPr>
              <w:jc w:val="both"/>
              <w:rPr>
                <w:rFonts w:cstheme="minorHAnsi"/>
                <w:sz w:val="20"/>
                <w:szCs w:val="20"/>
              </w:rPr>
            </w:pPr>
            <w:r>
              <w:rPr>
                <w:rFonts w:cstheme="minorHAnsi"/>
                <w:sz w:val="20"/>
                <w:szCs w:val="20"/>
              </w:rPr>
              <w:t>Established time</w:t>
            </w:r>
            <w:r w:rsidR="004B4119">
              <w:rPr>
                <w:rFonts w:cstheme="minorHAnsi"/>
                <w:sz w:val="20"/>
                <w:szCs w:val="20"/>
              </w:rPr>
              <w:t>frames within which the Ministry for Environment is to send information to the affected Party: to send notification 7 days following receipt from plan proponent that a plan or program may potentially have transboundary impacts; and to send documentation and final reports post decision, within 14 days of their issue.</w:t>
            </w:r>
          </w:p>
        </w:tc>
      </w:tr>
    </w:tbl>
    <w:p w14:paraId="4B02C5ED" w14:textId="7734E149" w:rsidR="00486A8D" w:rsidRDefault="00486A8D" w:rsidP="00A644AF">
      <w:pPr>
        <w:rPr>
          <w:color w:val="1F4E79" w:themeColor="accent1" w:themeShade="80"/>
          <w:sz w:val="20"/>
          <w:szCs w:val="20"/>
        </w:rPr>
      </w:pPr>
    </w:p>
    <w:p w14:paraId="5AE0A55E" w14:textId="7F50A43A" w:rsidR="004B4119" w:rsidRDefault="00486A8D" w:rsidP="00486A8D">
      <w:pPr>
        <w:pStyle w:val="Heading1"/>
        <w:numPr>
          <w:ilvl w:val="0"/>
          <w:numId w:val="0"/>
        </w:numPr>
        <w:ind w:left="432"/>
      </w:pPr>
      <w:bookmarkStart w:id="17" w:name="_Toc5308787"/>
      <w:r>
        <w:lastRenderedPageBreak/>
        <w:t>Annex 2: References</w:t>
      </w:r>
      <w:bookmarkEnd w:id="17"/>
      <w:r>
        <w:t xml:space="preserve"> </w:t>
      </w:r>
    </w:p>
    <w:p w14:paraId="7A72AC32" w14:textId="77777777" w:rsidR="00FB6578" w:rsidRDefault="00FB6578" w:rsidP="00043C19">
      <w:pPr>
        <w:spacing w:after="0" w:line="240" w:lineRule="auto"/>
        <w:rPr>
          <w:rFonts w:cstheme="minorHAnsi"/>
          <w:sz w:val="20"/>
          <w:szCs w:val="20"/>
        </w:rPr>
      </w:pPr>
    </w:p>
    <w:p w14:paraId="103DC92A" w14:textId="77777777" w:rsidR="00043C19" w:rsidRPr="00306058" w:rsidRDefault="00043C19" w:rsidP="00043C19">
      <w:pPr>
        <w:spacing w:after="0" w:line="240" w:lineRule="auto"/>
        <w:rPr>
          <w:rFonts w:cstheme="minorHAnsi"/>
          <w:sz w:val="20"/>
          <w:szCs w:val="20"/>
        </w:rPr>
      </w:pPr>
      <w:r w:rsidRPr="00306058">
        <w:rPr>
          <w:rFonts w:cstheme="minorHAnsi"/>
          <w:sz w:val="20"/>
          <w:szCs w:val="20"/>
        </w:rPr>
        <w:t>Convention on Environmental Impact Assessment in a Transboundary Context, done at Espoo, Finland, on 25 February 1991</w:t>
      </w:r>
    </w:p>
    <w:p w14:paraId="2D5AFBDE" w14:textId="77777777" w:rsidR="00043C19" w:rsidRDefault="00043C19" w:rsidP="00043C19">
      <w:pPr>
        <w:spacing w:after="0" w:line="240" w:lineRule="auto"/>
        <w:rPr>
          <w:rFonts w:cstheme="minorHAnsi"/>
          <w:sz w:val="20"/>
          <w:szCs w:val="20"/>
        </w:rPr>
      </w:pPr>
    </w:p>
    <w:p w14:paraId="167D428D" w14:textId="77777777" w:rsidR="00043C19" w:rsidRPr="00306058" w:rsidRDefault="00043C19" w:rsidP="00043C19">
      <w:pPr>
        <w:spacing w:after="0" w:line="240" w:lineRule="auto"/>
        <w:rPr>
          <w:rFonts w:cstheme="minorHAnsi"/>
          <w:sz w:val="20"/>
          <w:szCs w:val="20"/>
        </w:rPr>
      </w:pPr>
      <w:r w:rsidRPr="00306058">
        <w:rPr>
          <w:rFonts w:cstheme="minorHAnsi"/>
          <w:sz w:val="20"/>
          <w:szCs w:val="20"/>
        </w:rPr>
        <w:t>Directive 2001/42/EC on the assessment of the effects of certain plans and programmes on the environment</w:t>
      </w:r>
    </w:p>
    <w:p w14:paraId="5E6ED8F6" w14:textId="77777777" w:rsidR="00043C19" w:rsidRDefault="00043C19" w:rsidP="00043C19">
      <w:pPr>
        <w:spacing w:after="0" w:line="240" w:lineRule="auto"/>
        <w:rPr>
          <w:rFonts w:cstheme="minorHAnsi"/>
          <w:sz w:val="20"/>
          <w:szCs w:val="20"/>
        </w:rPr>
      </w:pPr>
    </w:p>
    <w:p w14:paraId="5D8648FB" w14:textId="77777777" w:rsidR="00043C19" w:rsidRPr="00306058" w:rsidRDefault="00043C19" w:rsidP="00043C19">
      <w:pPr>
        <w:spacing w:after="0" w:line="240" w:lineRule="auto"/>
        <w:rPr>
          <w:rFonts w:cstheme="minorHAnsi"/>
          <w:sz w:val="20"/>
          <w:szCs w:val="20"/>
        </w:rPr>
      </w:pPr>
      <w:r w:rsidRPr="00306058">
        <w:rPr>
          <w:rFonts w:cstheme="minorHAnsi"/>
          <w:sz w:val="20"/>
          <w:szCs w:val="20"/>
        </w:rPr>
        <w:t>Directive 2014/52/EU on the assessment of the effects of certain public and private projects on the environment</w:t>
      </w:r>
    </w:p>
    <w:p w14:paraId="03AAA971" w14:textId="77777777" w:rsidR="00043C19" w:rsidRDefault="00043C19" w:rsidP="00043C19">
      <w:pPr>
        <w:pStyle w:val="FootnoteText"/>
        <w:rPr>
          <w:rFonts w:cstheme="minorHAnsi"/>
        </w:rPr>
      </w:pPr>
    </w:p>
    <w:p w14:paraId="453308E0" w14:textId="77777777" w:rsidR="00043C19" w:rsidRPr="00306058" w:rsidRDefault="00043C19" w:rsidP="00043C19">
      <w:pPr>
        <w:pStyle w:val="FootnoteText"/>
        <w:rPr>
          <w:rFonts w:cstheme="minorHAnsi"/>
        </w:rPr>
      </w:pPr>
      <w:r w:rsidRPr="00306058">
        <w:rPr>
          <w:rFonts w:cstheme="minorHAnsi"/>
        </w:rPr>
        <w:t>European Union (2013), Guidance on the Application of the Environmental Impact Assessment Procedure for Large-scale Transboundary Projects</w:t>
      </w:r>
    </w:p>
    <w:p w14:paraId="51E85563" w14:textId="77777777" w:rsidR="00043C19" w:rsidRPr="00306058" w:rsidRDefault="00043C19" w:rsidP="00043C19">
      <w:pPr>
        <w:pStyle w:val="FootnoteText"/>
        <w:rPr>
          <w:rFonts w:cstheme="minorHAnsi"/>
        </w:rPr>
      </w:pPr>
    </w:p>
    <w:p w14:paraId="592092E7" w14:textId="77777777" w:rsidR="00043C19" w:rsidRPr="00306058" w:rsidRDefault="00043C19" w:rsidP="00043C19">
      <w:pPr>
        <w:spacing w:after="0" w:line="240" w:lineRule="auto"/>
        <w:rPr>
          <w:rFonts w:cstheme="minorHAnsi"/>
          <w:sz w:val="20"/>
          <w:szCs w:val="20"/>
        </w:rPr>
      </w:pPr>
      <w:r w:rsidRPr="00306058">
        <w:rPr>
          <w:rFonts w:cstheme="minorHAnsi"/>
          <w:sz w:val="20"/>
          <w:szCs w:val="20"/>
        </w:rPr>
        <w:t>European Union (2016) Study concerning the preparation of the report on the application and effectiveness of the SEA Directive (Directive 2001/42/EC) final study</w:t>
      </w:r>
    </w:p>
    <w:p w14:paraId="51B07CE3" w14:textId="77777777" w:rsidR="00043C19" w:rsidRPr="00306058" w:rsidRDefault="00043C19" w:rsidP="00043C19">
      <w:pPr>
        <w:spacing w:after="0" w:line="240" w:lineRule="auto"/>
        <w:rPr>
          <w:rFonts w:cstheme="minorHAnsi"/>
          <w:sz w:val="20"/>
          <w:szCs w:val="20"/>
        </w:rPr>
      </w:pPr>
    </w:p>
    <w:p w14:paraId="7AB3E98D" w14:textId="77777777" w:rsidR="00043C19" w:rsidRPr="00306058" w:rsidRDefault="00043C19" w:rsidP="00043C19">
      <w:pPr>
        <w:spacing w:after="0" w:line="240" w:lineRule="auto"/>
        <w:rPr>
          <w:rFonts w:cstheme="minorHAnsi"/>
          <w:sz w:val="20"/>
          <w:szCs w:val="20"/>
        </w:rPr>
      </w:pPr>
      <w:r w:rsidRPr="00306058">
        <w:rPr>
          <w:rFonts w:cstheme="minorHAnsi"/>
          <w:sz w:val="20"/>
          <w:szCs w:val="20"/>
        </w:rPr>
        <w:t xml:space="preserve">Member States’ summaries on the </w:t>
      </w:r>
      <w:r w:rsidRPr="00306058">
        <w:rPr>
          <w:rFonts w:cstheme="minorHAnsi"/>
          <w:color w:val="000000"/>
          <w:sz w:val="20"/>
          <w:szCs w:val="20"/>
        </w:rPr>
        <w:t>implementation of the SEA Directive</w:t>
      </w:r>
      <w:r w:rsidRPr="00306058">
        <w:rPr>
          <w:rFonts w:cstheme="minorHAnsi"/>
          <w:sz w:val="20"/>
          <w:szCs w:val="20"/>
        </w:rPr>
        <w:t xml:space="preserve"> </w:t>
      </w:r>
      <w:hyperlink r:id="rId16" w:history="1">
        <w:r w:rsidRPr="00306058">
          <w:rPr>
            <w:rStyle w:val="Hyperlink"/>
            <w:rFonts w:cstheme="minorHAnsi"/>
            <w:sz w:val="20"/>
            <w:szCs w:val="20"/>
          </w:rPr>
          <w:t>http://ec.europa.eu/environment/eia/member_states_summaries.htm</w:t>
        </w:r>
      </w:hyperlink>
    </w:p>
    <w:p w14:paraId="6313C54D" w14:textId="77777777" w:rsidR="00043C19" w:rsidRDefault="00043C19" w:rsidP="00043C19">
      <w:pPr>
        <w:spacing w:after="0" w:line="240" w:lineRule="auto"/>
        <w:rPr>
          <w:rFonts w:cstheme="minorHAnsi"/>
          <w:sz w:val="20"/>
          <w:szCs w:val="20"/>
        </w:rPr>
      </w:pPr>
    </w:p>
    <w:p w14:paraId="0884F737" w14:textId="77777777" w:rsidR="00043C19" w:rsidRPr="00306058" w:rsidRDefault="00043C19" w:rsidP="00043C19">
      <w:pPr>
        <w:spacing w:after="0" w:line="240" w:lineRule="auto"/>
        <w:rPr>
          <w:rFonts w:cstheme="minorHAnsi"/>
          <w:sz w:val="20"/>
          <w:szCs w:val="20"/>
        </w:rPr>
      </w:pPr>
      <w:r w:rsidRPr="00306058">
        <w:rPr>
          <w:rFonts w:cstheme="minorHAnsi"/>
          <w:sz w:val="20"/>
          <w:szCs w:val="20"/>
        </w:rPr>
        <w:t>Multilateral Agreement among the Countries of South-eastern Europe for Implementation of the Convention on Environmental Impact Assessment in a Transboundary Context (Bucharest Agreement, 2008)</w:t>
      </w:r>
    </w:p>
    <w:p w14:paraId="700C9D18" w14:textId="77777777" w:rsidR="00043C19" w:rsidRDefault="00043C19" w:rsidP="00043C19">
      <w:pPr>
        <w:pStyle w:val="Default"/>
        <w:rPr>
          <w:rFonts w:asciiTheme="minorHAnsi" w:hAnsiTheme="minorHAnsi" w:cstheme="minorHAnsi"/>
          <w:sz w:val="20"/>
          <w:szCs w:val="20"/>
        </w:rPr>
      </w:pPr>
    </w:p>
    <w:p w14:paraId="2EF390B0" w14:textId="77777777" w:rsidR="00043C19" w:rsidRPr="00306058" w:rsidRDefault="00043C19" w:rsidP="00043C19">
      <w:pPr>
        <w:pStyle w:val="Default"/>
        <w:rPr>
          <w:rFonts w:asciiTheme="minorHAnsi" w:hAnsiTheme="minorHAnsi" w:cstheme="minorHAnsi"/>
          <w:sz w:val="20"/>
          <w:szCs w:val="20"/>
          <w:lang w:val="en-GB"/>
        </w:rPr>
      </w:pPr>
      <w:r w:rsidRPr="00306058">
        <w:rPr>
          <w:rFonts w:asciiTheme="minorHAnsi" w:hAnsiTheme="minorHAnsi" w:cstheme="minorHAnsi"/>
          <w:sz w:val="20"/>
          <w:szCs w:val="20"/>
        </w:rPr>
        <w:t xml:space="preserve">PAP/RAC (2017), </w:t>
      </w:r>
      <w:r w:rsidRPr="00306058">
        <w:rPr>
          <w:rFonts w:asciiTheme="minorHAnsi" w:hAnsiTheme="minorHAnsi" w:cstheme="minorHAnsi"/>
          <w:bCs/>
          <w:sz w:val="20"/>
          <w:szCs w:val="20"/>
          <w:lang w:val="en-GB"/>
        </w:rPr>
        <w:t xml:space="preserve">Synthetic Note on the status of implementation of the Protocol on Integrated Coastal Zone Management in the Mediterranean </w:t>
      </w:r>
    </w:p>
    <w:p w14:paraId="51028A3A" w14:textId="77777777" w:rsidR="00043C19" w:rsidRPr="00306058" w:rsidRDefault="00043C19" w:rsidP="00043C19">
      <w:pPr>
        <w:spacing w:after="0" w:line="240" w:lineRule="auto"/>
        <w:rPr>
          <w:rFonts w:cstheme="minorHAnsi"/>
          <w:sz w:val="20"/>
          <w:szCs w:val="20"/>
        </w:rPr>
      </w:pPr>
    </w:p>
    <w:p w14:paraId="697DA830" w14:textId="77777777" w:rsidR="00043C19" w:rsidRPr="00306058" w:rsidRDefault="00043C19" w:rsidP="00043C19">
      <w:pPr>
        <w:spacing w:after="0" w:line="240" w:lineRule="auto"/>
        <w:rPr>
          <w:rFonts w:cstheme="minorHAnsi"/>
          <w:sz w:val="20"/>
          <w:szCs w:val="20"/>
        </w:rPr>
      </w:pPr>
      <w:r w:rsidRPr="00306058">
        <w:rPr>
          <w:rFonts w:cstheme="minorHAnsi"/>
          <w:sz w:val="20"/>
          <w:szCs w:val="20"/>
        </w:rPr>
        <w:t>Protocol on Strategic Environmental Assessment, done at Kyiv, on 21 May 2003</w:t>
      </w:r>
    </w:p>
    <w:p w14:paraId="14AA2078" w14:textId="77777777" w:rsidR="00043C19" w:rsidRDefault="00043C19" w:rsidP="00043C19">
      <w:pPr>
        <w:pStyle w:val="FootnoteText"/>
        <w:rPr>
          <w:rFonts w:cstheme="minorHAnsi"/>
        </w:rPr>
      </w:pPr>
    </w:p>
    <w:p w14:paraId="5DAC45B4" w14:textId="77777777" w:rsidR="00043C19" w:rsidRPr="00306058" w:rsidRDefault="00043C19" w:rsidP="00043C19">
      <w:pPr>
        <w:pStyle w:val="FootnoteText"/>
        <w:rPr>
          <w:rFonts w:cstheme="minorHAnsi"/>
        </w:rPr>
      </w:pPr>
      <w:r w:rsidRPr="00306058">
        <w:rPr>
          <w:rFonts w:cstheme="minorHAnsi"/>
        </w:rPr>
        <w:t>Status of Progress in the Implementation of the Barcelona Convention and its Protocols: Analysis of the Information Contained in the National Implementation Reports for the 2014-2015 Biennium (last updated in July 2018)</w:t>
      </w:r>
    </w:p>
    <w:p w14:paraId="34FAE761" w14:textId="77777777" w:rsidR="00043C19" w:rsidRPr="00306058" w:rsidRDefault="00043C19" w:rsidP="00043C19">
      <w:pPr>
        <w:pStyle w:val="FootnoteText"/>
        <w:rPr>
          <w:rFonts w:cstheme="minorHAnsi"/>
        </w:rPr>
      </w:pPr>
    </w:p>
    <w:p w14:paraId="188B37AD" w14:textId="77777777" w:rsidR="00043C19" w:rsidRPr="00306058" w:rsidRDefault="00043C19" w:rsidP="00043C19">
      <w:pPr>
        <w:spacing w:after="0" w:line="240" w:lineRule="auto"/>
        <w:rPr>
          <w:rFonts w:cstheme="minorHAnsi"/>
          <w:sz w:val="20"/>
          <w:szCs w:val="20"/>
        </w:rPr>
      </w:pPr>
      <w:r w:rsidRPr="00306058">
        <w:rPr>
          <w:rFonts w:cstheme="minorHAnsi"/>
          <w:sz w:val="20"/>
          <w:szCs w:val="20"/>
        </w:rPr>
        <w:t>UNECE (2006), Guidance on Public Participation in Environmental Impact Assessment in a Transboundary Context (ECE/MP.EIA/7)</w:t>
      </w:r>
    </w:p>
    <w:p w14:paraId="2FE3AD9B" w14:textId="77777777" w:rsidR="00043C19" w:rsidRDefault="00043C19" w:rsidP="00043C19">
      <w:pPr>
        <w:spacing w:after="0" w:line="240" w:lineRule="auto"/>
        <w:rPr>
          <w:rFonts w:cstheme="minorHAnsi"/>
          <w:sz w:val="20"/>
          <w:szCs w:val="20"/>
        </w:rPr>
      </w:pPr>
    </w:p>
    <w:p w14:paraId="4C87F145" w14:textId="77777777" w:rsidR="00043C19" w:rsidRPr="00306058" w:rsidRDefault="00043C19" w:rsidP="00043C19">
      <w:pPr>
        <w:spacing w:after="0" w:line="240" w:lineRule="auto"/>
        <w:rPr>
          <w:rFonts w:cstheme="minorHAnsi"/>
          <w:sz w:val="20"/>
          <w:szCs w:val="20"/>
        </w:rPr>
      </w:pPr>
      <w:r w:rsidRPr="00306058">
        <w:rPr>
          <w:rFonts w:cstheme="minorHAnsi"/>
          <w:sz w:val="20"/>
          <w:szCs w:val="20"/>
        </w:rPr>
        <w:t>UNECE (2006), Guidance on the Practical Application of the Espoo Convention (ECE/MP.EIA/8)</w:t>
      </w:r>
    </w:p>
    <w:p w14:paraId="163FB55E" w14:textId="77777777" w:rsidR="00043C19" w:rsidRDefault="00043C19" w:rsidP="00043C19">
      <w:pPr>
        <w:spacing w:after="0" w:line="240" w:lineRule="auto"/>
        <w:rPr>
          <w:rFonts w:cstheme="minorHAnsi"/>
          <w:sz w:val="20"/>
          <w:szCs w:val="20"/>
        </w:rPr>
      </w:pPr>
    </w:p>
    <w:p w14:paraId="251D8DB3" w14:textId="77777777" w:rsidR="00043C19" w:rsidRPr="00306058" w:rsidRDefault="00043C19" w:rsidP="00043C19">
      <w:pPr>
        <w:spacing w:after="0" w:line="240" w:lineRule="auto"/>
        <w:rPr>
          <w:rFonts w:cstheme="minorHAnsi"/>
          <w:sz w:val="20"/>
          <w:szCs w:val="20"/>
        </w:rPr>
      </w:pPr>
      <w:r w:rsidRPr="00306058">
        <w:rPr>
          <w:rFonts w:cstheme="minorHAnsi"/>
          <w:sz w:val="20"/>
          <w:szCs w:val="20"/>
        </w:rPr>
        <w:t>UNECE (2009), Guidance on notification according to the Espoo Convention (ECE/MP.EIA/12)</w:t>
      </w:r>
    </w:p>
    <w:p w14:paraId="79D1C87E" w14:textId="77777777" w:rsidR="00043C19" w:rsidRDefault="00043C19" w:rsidP="00043C19">
      <w:pPr>
        <w:pStyle w:val="FootnoteText"/>
        <w:rPr>
          <w:rFonts w:cstheme="minorHAnsi"/>
        </w:rPr>
      </w:pPr>
    </w:p>
    <w:p w14:paraId="00057A05" w14:textId="77777777" w:rsidR="00043C19" w:rsidRPr="00306058" w:rsidRDefault="00043C19" w:rsidP="00043C19">
      <w:pPr>
        <w:pStyle w:val="FootnoteText"/>
        <w:rPr>
          <w:rFonts w:cstheme="minorHAnsi"/>
        </w:rPr>
      </w:pPr>
      <w:r w:rsidRPr="00306058">
        <w:rPr>
          <w:rFonts w:cstheme="minorHAnsi"/>
        </w:rPr>
        <w:t>UNECE (2015), Good practice Recommendations on Public Participation in Strategic Environmental Assessment (ECE/MP.PP/10 - ECE/MP.EIA/SEA/5)</w:t>
      </w:r>
    </w:p>
    <w:p w14:paraId="6D26C930" w14:textId="77777777" w:rsidR="00043C19" w:rsidRPr="00306058" w:rsidRDefault="00043C19" w:rsidP="00043C19">
      <w:pPr>
        <w:spacing w:after="0" w:line="240" w:lineRule="auto"/>
        <w:rPr>
          <w:rFonts w:cstheme="minorHAnsi"/>
          <w:sz w:val="20"/>
          <w:szCs w:val="20"/>
        </w:rPr>
      </w:pPr>
    </w:p>
    <w:p w14:paraId="04011933" w14:textId="77777777" w:rsidR="00043C19" w:rsidRPr="00306058" w:rsidRDefault="00043C19" w:rsidP="00043C19">
      <w:pPr>
        <w:spacing w:after="0" w:line="240" w:lineRule="auto"/>
        <w:rPr>
          <w:rFonts w:cstheme="minorHAnsi"/>
          <w:sz w:val="20"/>
          <w:szCs w:val="20"/>
        </w:rPr>
      </w:pPr>
      <w:r w:rsidRPr="00306058">
        <w:rPr>
          <w:rFonts w:cstheme="minorHAnsi"/>
          <w:sz w:val="20"/>
          <w:szCs w:val="20"/>
        </w:rPr>
        <w:t>UNECE (2017) Implementation of the Convention on Environmental Impact Assessment in a Transboundary Context 2013-2015: Fifth review (ECE/MP.EIA/25)</w:t>
      </w:r>
    </w:p>
    <w:p w14:paraId="39306403" w14:textId="77777777" w:rsidR="00043C19" w:rsidRDefault="00043C19" w:rsidP="00043C19">
      <w:pPr>
        <w:spacing w:after="0" w:line="240" w:lineRule="auto"/>
        <w:rPr>
          <w:rFonts w:cstheme="minorHAnsi"/>
          <w:sz w:val="20"/>
          <w:szCs w:val="20"/>
        </w:rPr>
      </w:pPr>
    </w:p>
    <w:p w14:paraId="1079A08F" w14:textId="77777777" w:rsidR="00043C19" w:rsidRPr="00306058" w:rsidRDefault="00043C19" w:rsidP="00043C19">
      <w:pPr>
        <w:spacing w:after="0" w:line="240" w:lineRule="auto"/>
        <w:rPr>
          <w:rFonts w:cstheme="minorHAnsi"/>
          <w:sz w:val="20"/>
          <w:szCs w:val="20"/>
        </w:rPr>
      </w:pPr>
      <w:r w:rsidRPr="00306058">
        <w:rPr>
          <w:rFonts w:cstheme="minorHAnsi"/>
          <w:sz w:val="20"/>
          <w:szCs w:val="20"/>
        </w:rPr>
        <w:t>UNECE (2017), Second review of implementation of the Protocol on Strategic Environmental Assessment 2013-2015 (ECE/MP.EIA/SEA/9)</w:t>
      </w:r>
    </w:p>
    <w:p w14:paraId="25113CC8" w14:textId="77777777" w:rsidR="00043C19" w:rsidRDefault="00043C19" w:rsidP="00043C19">
      <w:pPr>
        <w:spacing w:after="0" w:line="240" w:lineRule="auto"/>
        <w:rPr>
          <w:rFonts w:cstheme="minorHAnsi"/>
          <w:sz w:val="20"/>
          <w:szCs w:val="20"/>
        </w:rPr>
      </w:pPr>
    </w:p>
    <w:p w14:paraId="21558C4A" w14:textId="77777777" w:rsidR="00043C19" w:rsidRPr="00306058" w:rsidRDefault="00043C19" w:rsidP="00043C19">
      <w:pPr>
        <w:spacing w:after="0" w:line="240" w:lineRule="auto"/>
        <w:rPr>
          <w:rFonts w:cstheme="minorHAnsi"/>
          <w:sz w:val="20"/>
          <w:szCs w:val="20"/>
        </w:rPr>
      </w:pPr>
      <w:r w:rsidRPr="00306058">
        <w:rPr>
          <w:rFonts w:cstheme="minorHAnsi"/>
          <w:sz w:val="20"/>
          <w:szCs w:val="20"/>
        </w:rPr>
        <w:t>UNECE (2019), Revised Guidelines on Environmental Impact Assessment in a Transboundary Context for Central Asian Countries (ECE/MP.EIA/2019/12)</w:t>
      </w:r>
    </w:p>
    <w:p w14:paraId="69F3BF3C" w14:textId="77777777" w:rsidR="00043C19" w:rsidRDefault="00043C19" w:rsidP="00043C19">
      <w:pPr>
        <w:pStyle w:val="FootnoteText"/>
        <w:rPr>
          <w:rFonts w:cstheme="minorHAnsi"/>
        </w:rPr>
      </w:pPr>
    </w:p>
    <w:p w14:paraId="46FC3E28" w14:textId="77777777" w:rsidR="00043C19" w:rsidRPr="00306058" w:rsidRDefault="00043C19" w:rsidP="00043C19">
      <w:pPr>
        <w:pStyle w:val="FootnoteText"/>
        <w:rPr>
          <w:rFonts w:cstheme="minorHAnsi"/>
        </w:rPr>
      </w:pPr>
      <w:r w:rsidRPr="00306058">
        <w:rPr>
          <w:rFonts w:cstheme="minorHAnsi"/>
        </w:rPr>
        <w:t xml:space="preserve">UNECE and European Union (2018), Application of the Protocol on Strategic Environmental Assessment: manual for trainers </w:t>
      </w:r>
    </w:p>
    <w:p w14:paraId="55E96ACF" w14:textId="77777777" w:rsidR="00043C19" w:rsidRDefault="00043C19" w:rsidP="00043C19">
      <w:pPr>
        <w:spacing w:after="0" w:line="240" w:lineRule="auto"/>
        <w:jc w:val="both"/>
        <w:textAlignment w:val="baseline"/>
        <w:rPr>
          <w:rFonts w:cstheme="minorHAnsi"/>
          <w:sz w:val="20"/>
          <w:szCs w:val="20"/>
        </w:rPr>
      </w:pPr>
    </w:p>
    <w:p w14:paraId="76B35EB6" w14:textId="77777777" w:rsidR="00043C19" w:rsidRPr="00306058" w:rsidRDefault="00043C19" w:rsidP="00043C19">
      <w:pPr>
        <w:spacing w:after="0" w:line="240" w:lineRule="auto"/>
        <w:jc w:val="both"/>
        <w:textAlignment w:val="baseline"/>
        <w:rPr>
          <w:rFonts w:cstheme="minorHAnsi"/>
          <w:sz w:val="20"/>
          <w:szCs w:val="20"/>
        </w:rPr>
      </w:pPr>
      <w:r w:rsidRPr="00306058">
        <w:rPr>
          <w:rFonts w:cstheme="minorHAnsi"/>
          <w:sz w:val="20"/>
          <w:szCs w:val="20"/>
        </w:rPr>
        <w:t>United Nations Environment Programme Mediterranean Action Plan (2011), Convention for the Protection of the Marine Environment and the Coastal Region of the Mediterranean and its Protocols</w:t>
      </w:r>
    </w:p>
    <w:p w14:paraId="529DAE4F" w14:textId="77777777" w:rsidR="008B6CA9" w:rsidRPr="008B6CA9" w:rsidRDefault="008B6CA9" w:rsidP="008B6CA9"/>
    <w:sectPr w:rsidR="008B6CA9" w:rsidRPr="008B6CA9" w:rsidSect="00B917D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4E8E8" w14:textId="77777777" w:rsidR="002C2694" w:rsidRDefault="002C2694" w:rsidP="00474DBB">
      <w:pPr>
        <w:spacing w:after="0" w:line="240" w:lineRule="auto"/>
      </w:pPr>
      <w:r>
        <w:separator/>
      </w:r>
    </w:p>
  </w:endnote>
  <w:endnote w:type="continuationSeparator" w:id="0">
    <w:p w14:paraId="26F2CA0A" w14:textId="77777777" w:rsidR="002C2694" w:rsidRDefault="002C2694" w:rsidP="0047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587512"/>
      <w:docPartObj>
        <w:docPartGallery w:val="Page Numbers (Bottom of Page)"/>
        <w:docPartUnique/>
      </w:docPartObj>
    </w:sdtPr>
    <w:sdtEndPr>
      <w:rPr>
        <w:noProof/>
      </w:rPr>
    </w:sdtEndPr>
    <w:sdtContent>
      <w:p w14:paraId="68BDBE5B" w14:textId="77777777" w:rsidR="00C16EA7" w:rsidRDefault="00C16EA7">
        <w:pPr>
          <w:pStyle w:val="Footer"/>
          <w:jc w:val="right"/>
        </w:pPr>
        <w:r>
          <w:rPr>
            <w:noProof/>
          </w:rPr>
          <w:fldChar w:fldCharType="begin"/>
        </w:r>
        <w:r>
          <w:rPr>
            <w:noProof/>
          </w:rPr>
          <w:instrText xml:space="preserve"> PAGE   \* MERGEFORMAT </w:instrText>
        </w:r>
        <w:r>
          <w:rPr>
            <w:noProof/>
          </w:rPr>
          <w:fldChar w:fldCharType="separate"/>
        </w:r>
        <w:r w:rsidR="00FB6578">
          <w:rPr>
            <w:noProof/>
          </w:rPr>
          <w:t>28</w:t>
        </w:r>
        <w:r>
          <w:rPr>
            <w:noProof/>
          </w:rPr>
          <w:fldChar w:fldCharType="end"/>
        </w:r>
      </w:p>
    </w:sdtContent>
  </w:sdt>
  <w:p w14:paraId="523CA6F0" w14:textId="77777777" w:rsidR="00C16EA7" w:rsidRDefault="00C16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BF04B" w14:textId="77777777" w:rsidR="002C2694" w:rsidRDefault="002C2694" w:rsidP="00474DBB">
      <w:pPr>
        <w:spacing w:after="0" w:line="240" w:lineRule="auto"/>
      </w:pPr>
      <w:r>
        <w:separator/>
      </w:r>
    </w:p>
  </w:footnote>
  <w:footnote w:type="continuationSeparator" w:id="0">
    <w:p w14:paraId="5FFD80FA" w14:textId="77777777" w:rsidR="002C2694" w:rsidRDefault="002C2694" w:rsidP="00474DBB">
      <w:pPr>
        <w:spacing w:after="0" w:line="240" w:lineRule="auto"/>
      </w:pPr>
      <w:r>
        <w:continuationSeparator/>
      </w:r>
    </w:p>
  </w:footnote>
  <w:footnote w:id="1">
    <w:p w14:paraId="15942BC7" w14:textId="77777777" w:rsidR="00C16EA7" w:rsidRDefault="00C16EA7">
      <w:pPr>
        <w:pStyle w:val="FootnoteText"/>
      </w:pPr>
      <w:r>
        <w:rPr>
          <w:rStyle w:val="FootnoteReference"/>
        </w:rPr>
        <w:footnoteRef/>
      </w:r>
      <w:r>
        <w:t xml:space="preserve"> Common Regional Framework for ICZM, March 2019 draft</w:t>
      </w:r>
    </w:p>
  </w:footnote>
  <w:footnote w:id="2">
    <w:p w14:paraId="70601EC6" w14:textId="77777777" w:rsidR="00C16EA7" w:rsidRPr="00492362" w:rsidRDefault="00C16EA7">
      <w:pPr>
        <w:pStyle w:val="FootnoteText"/>
        <w:rPr>
          <w:rFonts w:cstheme="minorHAnsi"/>
          <w:color w:val="000000" w:themeColor="text1"/>
        </w:rPr>
      </w:pPr>
      <w:r>
        <w:rPr>
          <w:rStyle w:val="FootnoteReference"/>
        </w:rPr>
        <w:footnoteRef/>
      </w:r>
      <w:r>
        <w:t xml:space="preserve"> </w:t>
      </w:r>
      <w:r w:rsidRPr="00095A37">
        <w:rPr>
          <w:rFonts w:cstheme="minorHAnsi"/>
          <w:color w:val="000000" w:themeColor="text1"/>
        </w:rPr>
        <w:t>United Nations</w:t>
      </w:r>
      <w:r>
        <w:rPr>
          <w:rFonts w:cstheme="minorHAnsi"/>
          <w:color w:val="000000" w:themeColor="text1"/>
        </w:rPr>
        <w:t xml:space="preserve"> Economic Commission for Europe – </w:t>
      </w:r>
      <w:r w:rsidRPr="00095A37">
        <w:rPr>
          <w:color w:val="000000" w:themeColor="text1"/>
        </w:rPr>
        <w:t>Convention on Environmental Impact Assessment in a Transboundary Context</w:t>
      </w:r>
    </w:p>
  </w:footnote>
  <w:footnote w:id="3">
    <w:p w14:paraId="32897596" w14:textId="77777777" w:rsidR="00C16EA7" w:rsidRDefault="00C16EA7">
      <w:pPr>
        <w:pStyle w:val="FootnoteText"/>
      </w:pPr>
      <w:r>
        <w:rPr>
          <w:rStyle w:val="FootnoteReference"/>
        </w:rPr>
        <w:footnoteRef/>
      </w:r>
      <w:r>
        <w:t xml:space="preserve"> UNECE </w:t>
      </w:r>
      <w:r w:rsidRPr="00B71527">
        <w:t xml:space="preserve">Kiev Protocol </w:t>
      </w:r>
      <w:r>
        <w:t>on Strategic Environmental Assessment</w:t>
      </w:r>
    </w:p>
  </w:footnote>
  <w:footnote w:id="4">
    <w:p w14:paraId="5E70C572" w14:textId="77777777" w:rsidR="00C16EA7" w:rsidRDefault="00C16EA7">
      <w:pPr>
        <w:pStyle w:val="FootnoteText"/>
      </w:pPr>
      <w:r>
        <w:rPr>
          <w:rStyle w:val="FootnoteReference"/>
        </w:rPr>
        <w:footnoteRef/>
      </w:r>
      <w:r>
        <w:t xml:space="preserve"> The original Convention is in force since 1978, the amended (1995 Amendments) Convention since 2004. </w:t>
      </w:r>
    </w:p>
  </w:footnote>
  <w:footnote w:id="5">
    <w:p w14:paraId="27538AF8" w14:textId="77777777" w:rsidR="00C16EA7" w:rsidRDefault="00C16EA7">
      <w:pPr>
        <w:pStyle w:val="FootnoteText"/>
      </w:pPr>
      <w:r>
        <w:rPr>
          <w:rStyle w:val="FootnoteReference"/>
        </w:rPr>
        <w:footnoteRef/>
      </w:r>
      <w:r>
        <w:t xml:space="preserve"> In force since 2011. </w:t>
      </w:r>
    </w:p>
  </w:footnote>
  <w:footnote w:id="6">
    <w:p w14:paraId="4B071CCB" w14:textId="77777777" w:rsidR="00C16EA7" w:rsidRDefault="00C16EA7">
      <w:pPr>
        <w:pStyle w:val="FootnoteText"/>
      </w:pPr>
      <w:r w:rsidRPr="00E53FD2">
        <w:rPr>
          <w:rStyle w:val="FootnoteReference"/>
        </w:rPr>
        <w:footnoteRef/>
      </w:r>
      <w:r w:rsidRPr="00E53FD2">
        <w:t xml:space="preserve"> The original Convention was last amended in 2004, to </w:t>
      </w:r>
      <w:r w:rsidRPr="00E53FD2">
        <w:rPr>
          <w:i/>
        </w:rPr>
        <w:t>inter alia</w:t>
      </w:r>
      <w:r w:rsidRPr="00E53FD2">
        <w:t xml:space="preserve"> revise the list of activities in Appendix I and </w:t>
      </w:r>
      <w:r>
        <w:t xml:space="preserve">include provisions to </w:t>
      </w:r>
      <w:r w:rsidRPr="00E53FD2">
        <w:t>allow affected Parties to participate in scoping, as appropriate</w:t>
      </w:r>
      <w:r>
        <w:t xml:space="preserve">. </w:t>
      </w:r>
      <w:r w:rsidRPr="00CE6B17">
        <w:t>Th</w:t>
      </w:r>
      <w:r>
        <w:t xml:space="preserve">is amendment </w:t>
      </w:r>
      <w:r w:rsidRPr="00CE6B17">
        <w:t xml:space="preserve">entered into force </w:t>
      </w:r>
      <w:r>
        <w:t xml:space="preserve">in </w:t>
      </w:r>
      <w:r w:rsidRPr="00CE6B17">
        <w:t>2017.</w:t>
      </w:r>
    </w:p>
  </w:footnote>
  <w:footnote w:id="7">
    <w:p w14:paraId="6AE86346" w14:textId="77777777" w:rsidR="00C16EA7" w:rsidRPr="00706A0F" w:rsidRDefault="00C16EA7">
      <w:pPr>
        <w:pStyle w:val="FootnoteText"/>
        <w:rPr>
          <w:rFonts w:cstheme="minorHAnsi"/>
        </w:rPr>
      </w:pPr>
      <w:r w:rsidRPr="00706A0F">
        <w:rPr>
          <w:rStyle w:val="FootnoteReference"/>
          <w:rFonts w:cstheme="minorHAnsi"/>
        </w:rPr>
        <w:footnoteRef/>
      </w:r>
      <w:r w:rsidRPr="00706A0F">
        <w:rPr>
          <w:rFonts w:cstheme="minorHAnsi"/>
        </w:rPr>
        <w:t xml:space="preserve"> </w:t>
      </w:r>
      <w:r>
        <w:rPr>
          <w:rFonts w:cstheme="minorHAnsi"/>
        </w:rPr>
        <w:t xml:space="preserve">Under </w:t>
      </w:r>
      <w:r w:rsidRPr="00706A0F">
        <w:rPr>
          <w:rFonts w:cstheme="minorHAnsi"/>
        </w:rPr>
        <w:t xml:space="preserve">Decision IG. 20/4 on </w:t>
      </w:r>
      <w:r>
        <w:rPr>
          <w:rFonts w:cstheme="minorHAnsi"/>
        </w:rPr>
        <w:t>Ecosystem Approach (</w:t>
      </w:r>
      <w:proofErr w:type="spellStart"/>
      <w:r w:rsidRPr="00706A0F">
        <w:rPr>
          <w:rFonts w:cstheme="minorHAnsi"/>
        </w:rPr>
        <w:t>EcAp</w:t>
      </w:r>
      <w:proofErr w:type="spellEnd"/>
      <w:r>
        <w:rPr>
          <w:rFonts w:cstheme="minorHAnsi"/>
        </w:rPr>
        <w:t>)</w:t>
      </w:r>
      <w:r w:rsidRPr="00706A0F">
        <w:rPr>
          <w:rFonts w:cstheme="minorHAnsi"/>
        </w:rPr>
        <w:t xml:space="preserve"> Implementation Roadmap</w:t>
      </w:r>
      <w:r>
        <w:rPr>
          <w:rFonts w:cstheme="minorHAnsi"/>
        </w:rPr>
        <w:t xml:space="preserve">, the BC </w:t>
      </w:r>
      <w:r w:rsidRPr="00706A0F">
        <w:rPr>
          <w:rFonts w:cstheme="minorHAnsi"/>
        </w:rPr>
        <w:t>Contracting Parties have committed to the application of ecosystem based management of human activities in order to achieve (or maintain) GES of the Mediterranean Sea and its coastal region for eleven Ecological Objectives</w:t>
      </w:r>
      <w:r>
        <w:rPr>
          <w:rFonts w:cstheme="minorHAnsi"/>
        </w:rPr>
        <w:t xml:space="preserve"> (referring to biodiversity, non-indigenous species, commercially exploited fish and shellfish, marine food webs, eutrophication, sea-floor integrity, hydrography, coastal ecosystems and landscapes, contaminants, marine litter, and underwater noise)</w:t>
      </w:r>
      <w:r w:rsidRPr="00706A0F">
        <w:rPr>
          <w:rFonts w:cstheme="minorHAnsi"/>
        </w:rPr>
        <w:t xml:space="preserve">. </w:t>
      </w:r>
    </w:p>
  </w:footnote>
  <w:footnote w:id="8">
    <w:p w14:paraId="703551DD" w14:textId="77777777" w:rsidR="00C16EA7" w:rsidRPr="00E20942" w:rsidRDefault="00C16EA7" w:rsidP="00DB066A">
      <w:pPr>
        <w:pStyle w:val="FootnoteText"/>
        <w:rPr>
          <w:color w:val="000000" w:themeColor="text1"/>
        </w:rPr>
      </w:pPr>
      <w:r w:rsidRPr="00E20942">
        <w:rPr>
          <w:rStyle w:val="FootnoteReference"/>
          <w:color w:val="000000" w:themeColor="text1"/>
        </w:rPr>
        <w:footnoteRef/>
      </w:r>
      <w:r w:rsidRPr="00E20942">
        <w:rPr>
          <w:color w:val="000000" w:themeColor="text1"/>
        </w:rPr>
        <w:t xml:space="preserve"> According to </w:t>
      </w:r>
      <w:proofErr w:type="spellStart"/>
      <w:r w:rsidRPr="00E20942">
        <w:rPr>
          <w:color w:val="000000" w:themeColor="text1"/>
        </w:rPr>
        <w:t>EcAp</w:t>
      </w:r>
      <w:proofErr w:type="spellEnd"/>
      <w:r w:rsidRPr="00E20942">
        <w:rPr>
          <w:color w:val="000000" w:themeColor="text1"/>
        </w:rPr>
        <w:t xml:space="preserve"> Implementation Roadmap, the main four sub-regions in the Mediterranean are:</w:t>
      </w:r>
      <w:r>
        <w:rPr>
          <w:color w:val="000000" w:themeColor="text1"/>
        </w:rPr>
        <w:t xml:space="preserve"> </w:t>
      </w:r>
      <w:r w:rsidRPr="00E20942">
        <w:rPr>
          <w:color w:val="000000" w:themeColor="text1"/>
        </w:rPr>
        <w:t xml:space="preserve">Western Mediterranean; Central Mediterranean and Ionian; Adriatic Sea; and Eastern Mediterranean (Aegean-Levantine) sub-region.  </w:t>
      </w:r>
    </w:p>
  </w:footnote>
  <w:footnote w:id="9">
    <w:p w14:paraId="4892789B" w14:textId="77777777" w:rsidR="00C16EA7" w:rsidRPr="0064084B" w:rsidRDefault="00C16EA7" w:rsidP="00FA7A35">
      <w:pPr>
        <w:pStyle w:val="FootnoteText"/>
        <w:rPr>
          <w:color w:val="000000" w:themeColor="text1"/>
        </w:rPr>
      </w:pPr>
      <w:r>
        <w:rPr>
          <w:rStyle w:val="FootnoteReference"/>
        </w:rPr>
        <w:footnoteRef/>
      </w:r>
      <w:r>
        <w:t xml:space="preserve"> Including </w:t>
      </w:r>
      <w:r w:rsidRPr="002830F9">
        <w:rPr>
          <w:rFonts w:cstheme="minorHAnsi"/>
          <w:i/>
        </w:rPr>
        <w:t>Status of Progress in the Implementation of the Barcelona Convention and its Protocols: Analysis of the Information Contained in the National Implementation Reports for the 2014-2015 Biennium</w:t>
      </w:r>
      <w:r>
        <w:rPr>
          <w:rFonts w:cstheme="minorHAnsi"/>
        </w:rPr>
        <w:t xml:space="preserve"> (last updated in July 2018)</w:t>
      </w:r>
      <w:r>
        <w:rPr>
          <w:rFonts w:cstheme="minorHAnsi"/>
          <w:i/>
        </w:rPr>
        <w:t xml:space="preserve">, </w:t>
      </w:r>
      <w:r w:rsidRPr="00DB63A5">
        <w:rPr>
          <w:rFonts w:cstheme="minorHAnsi"/>
        </w:rPr>
        <w:t xml:space="preserve">and </w:t>
      </w:r>
      <w:r w:rsidRPr="002830F9">
        <w:rPr>
          <w:rFonts w:cstheme="minorHAnsi"/>
          <w:bCs/>
          <w:i/>
        </w:rPr>
        <w:t>Synthetic Note on the status of implementation of the Protocol on Integrated Coastal Zone Management in the Mediterranean</w:t>
      </w:r>
      <w:r>
        <w:rPr>
          <w:rFonts w:cstheme="minorHAnsi"/>
          <w:bCs/>
          <w:i/>
        </w:rPr>
        <w:t xml:space="preserve">; </w:t>
      </w:r>
      <w:r>
        <w:rPr>
          <w:rFonts w:cstheme="minorHAnsi"/>
          <w:bCs/>
        </w:rPr>
        <w:t xml:space="preserve">the latter is based on </w:t>
      </w:r>
      <w:r>
        <w:t xml:space="preserve">responses received in early 2017. </w:t>
      </w:r>
      <w:r w:rsidRPr="00A61080">
        <w:rPr>
          <w:rFonts w:cstheme="minorHAnsi"/>
          <w:color w:val="000000" w:themeColor="text1"/>
        </w:rPr>
        <w:t xml:space="preserve">Important analytical insights and recommendations for future development of environmental assessment practices are provided through the development of </w:t>
      </w:r>
      <w:r>
        <w:rPr>
          <w:rFonts w:cstheme="minorHAnsi"/>
          <w:color w:val="000000" w:themeColor="text1"/>
        </w:rPr>
        <w:t>C</w:t>
      </w:r>
      <w:r w:rsidRPr="00A61080">
        <w:rPr>
          <w:rFonts w:cstheme="minorHAnsi"/>
          <w:color w:val="000000" w:themeColor="text1"/>
        </w:rPr>
        <w:t>RF for ICZM</w:t>
      </w:r>
      <w:r>
        <w:rPr>
          <w:rFonts w:cstheme="minorHAnsi"/>
          <w:color w:val="000000" w:themeColor="text1"/>
        </w:rPr>
        <w:t xml:space="preserve"> (prepared </w:t>
      </w:r>
      <w:r w:rsidRPr="0039247A">
        <w:rPr>
          <w:rFonts w:cstheme="minorHAnsi"/>
        </w:rPr>
        <w:t xml:space="preserve">in </w:t>
      </w:r>
      <w:r>
        <w:rPr>
          <w:rFonts w:cstheme="minorHAnsi"/>
        </w:rPr>
        <w:t xml:space="preserve">line </w:t>
      </w:r>
      <w:r w:rsidRPr="0039247A">
        <w:rPr>
          <w:rFonts w:cstheme="minorHAnsi"/>
        </w:rPr>
        <w:t>with the Decision IG.23/7</w:t>
      </w:r>
      <w:r>
        <w:rPr>
          <w:rFonts w:cstheme="minorHAnsi"/>
        </w:rPr>
        <w:t xml:space="preserve">). </w:t>
      </w:r>
      <w:r>
        <w:rPr>
          <w:rFonts w:cstheme="minorHAnsi"/>
          <w:color w:val="000000" w:themeColor="text1"/>
        </w:rPr>
        <w:t xml:space="preserve"> </w:t>
      </w:r>
      <w:r>
        <w:t xml:space="preserve">   </w:t>
      </w:r>
    </w:p>
  </w:footnote>
  <w:footnote w:id="10">
    <w:p w14:paraId="3629ACBF" w14:textId="737F1713" w:rsidR="00C16EA7" w:rsidRPr="0064084B" w:rsidRDefault="00C16EA7" w:rsidP="00483321">
      <w:pPr>
        <w:pStyle w:val="FootnoteText"/>
        <w:rPr>
          <w:color w:val="000000" w:themeColor="text1"/>
        </w:rPr>
      </w:pPr>
      <w:r w:rsidRPr="0064084B">
        <w:rPr>
          <w:rStyle w:val="FootnoteReference"/>
          <w:color w:val="000000" w:themeColor="text1"/>
        </w:rPr>
        <w:footnoteRef/>
      </w:r>
      <w:r w:rsidRPr="0064084B">
        <w:rPr>
          <w:color w:val="000000" w:themeColor="text1"/>
        </w:rPr>
        <w:t xml:space="preserve"> UN Economic Commission for Africa, Office for North Africa, and UN Economic and Social Commission for Western Asia do not have treaties similar to those of UNECE in the area of environmental assessments. When the 2001 amendment to Espoo Convention will be in effect, countries outside the UNECE </w:t>
      </w:r>
      <w:r>
        <w:rPr>
          <w:color w:val="000000" w:themeColor="text1"/>
        </w:rPr>
        <w:t xml:space="preserve">region </w:t>
      </w:r>
      <w:r w:rsidRPr="0064084B">
        <w:rPr>
          <w:color w:val="000000" w:themeColor="text1"/>
        </w:rPr>
        <w:t xml:space="preserve">will be also welcome to ratify the Convention. </w:t>
      </w:r>
    </w:p>
  </w:footnote>
  <w:footnote w:id="11">
    <w:p w14:paraId="77D4FE70" w14:textId="6A0A6368" w:rsidR="00C16EA7" w:rsidRDefault="00C16EA7">
      <w:pPr>
        <w:pStyle w:val="FootnoteText"/>
      </w:pPr>
      <w:r>
        <w:rPr>
          <w:rStyle w:val="FootnoteReference"/>
        </w:rPr>
        <w:footnoteRef/>
      </w:r>
      <w:r>
        <w:t xml:space="preserve"> France and Greece have not ratified Kiev Protocol yet. </w:t>
      </w:r>
    </w:p>
  </w:footnote>
  <w:footnote w:id="12">
    <w:p w14:paraId="413213D6" w14:textId="77777777" w:rsidR="00C16EA7" w:rsidRPr="00EC24AC" w:rsidRDefault="00C16EA7" w:rsidP="00A156C6">
      <w:pPr>
        <w:pStyle w:val="FootnoteText"/>
      </w:pPr>
      <w:r w:rsidRPr="00EC24AC">
        <w:rPr>
          <w:rStyle w:val="FootnoteReference"/>
        </w:rPr>
        <w:footnoteRef/>
      </w:r>
      <w:r w:rsidRPr="00EC24AC">
        <w:t xml:space="preserve"> Based on the EU Member States National Summaries on the SEA Directive, available </w:t>
      </w:r>
      <w:r>
        <w:t>from</w:t>
      </w:r>
      <w:r w:rsidRPr="00EC24AC">
        <w:t xml:space="preserve"> </w:t>
      </w:r>
      <w:hyperlink r:id="rId1" w:history="1">
        <w:r w:rsidRPr="00EC24AC">
          <w:rPr>
            <w:rStyle w:val="Hyperlink"/>
          </w:rPr>
          <w:t>http://ec.europa.eu/environment/eia/member_states_summaries.htm</w:t>
        </w:r>
      </w:hyperlink>
      <w:r w:rsidRPr="00EC24AC">
        <w:t xml:space="preserve">  </w:t>
      </w:r>
    </w:p>
  </w:footnote>
  <w:footnote w:id="13">
    <w:p w14:paraId="392FCA0A" w14:textId="77777777" w:rsidR="00C16EA7" w:rsidRPr="00E20942" w:rsidRDefault="00C16EA7" w:rsidP="00E20942">
      <w:pPr>
        <w:spacing w:after="0" w:line="240" w:lineRule="auto"/>
        <w:rPr>
          <w:color w:val="000000" w:themeColor="text1"/>
          <w:sz w:val="20"/>
          <w:szCs w:val="20"/>
        </w:rPr>
      </w:pPr>
      <w:r>
        <w:rPr>
          <w:rStyle w:val="FootnoteReference"/>
        </w:rPr>
        <w:footnoteRef/>
      </w:r>
      <w:r>
        <w:t xml:space="preserve"> </w:t>
      </w:r>
      <w:r w:rsidRPr="00E20942">
        <w:rPr>
          <w:color w:val="000000" w:themeColor="text1"/>
          <w:sz w:val="20"/>
          <w:szCs w:val="20"/>
        </w:rPr>
        <w:t xml:space="preserve">Frequency and number of transboundary procedures varies significantly across countries depending on a range of circumstances. As an illustration, data obtained from the </w:t>
      </w:r>
      <w:r>
        <w:rPr>
          <w:color w:val="000000" w:themeColor="text1"/>
          <w:sz w:val="20"/>
          <w:szCs w:val="20"/>
        </w:rPr>
        <w:t xml:space="preserve">implementation reports of the </w:t>
      </w:r>
      <w:r w:rsidRPr="00E20942">
        <w:rPr>
          <w:color w:val="000000" w:themeColor="text1"/>
          <w:sz w:val="20"/>
          <w:szCs w:val="20"/>
        </w:rPr>
        <w:t>Parties to Espoo Convention for 2013-2015 is provided here: the number of procedures reported by Parties of origin ranged from 1 (Portugal) to 12 (Sweden); the number of procedures reported by affected Parties ranged from 1 (Azerbaijan) to 24 (Czech Republic).</w:t>
      </w:r>
    </w:p>
  </w:footnote>
  <w:footnote w:id="14">
    <w:p w14:paraId="6DFB49A0" w14:textId="77777777" w:rsidR="00C16EA7" w:rsidRDefault="00C16EA7" w:rsidP="00327FED">
      <w:pPr>
        <w:pStyle w:val="FootnoteText"/>
      </w:pPr>
      <w:r>
        <w:rPr>
          <w:rStyle w:val="FootnoteReference"/>
        </w:rPr>
        <w:footnoteRef/>
      </w:r>
      <w:r>
        <w:t xml:space="preserve"> Practices regarding appointment of competent authorities vary across the countries. In the EU, for example, some Member States have appointed an entity (normally the Ministry responsible for environment) to act as SEA competent authority and as a </w:t>
      </w:r>
      <w:r>
        <w:rPr>
          <w:rFonts w:cstheme="minorHAnsi"/>
        </w:rPr>
        <w:t xml:space="preserve">point of contact for transboundary consultations, while in others the entity responsible for the draft plan or programme also has the responsibility to liaise with the affected countries in transboundary procedures. </w:t>
      </w:r>
    </w:p>
  </w:footnote>
  <w:footnote w:id="15">
    <w:p w14:paraId="75A8BD53" w14:textId="77777777" w:rsidR="00C16EA7" w:rsidRDefault="00C16EA7">
      <w:pPr>
        <w:pStyle w:val="FootnoteText"/>
      </w:pPr>
      <w:r>
        <w:rPr>
          <w:rStyle w:val="FootnoteReference"/>
        </w:rPr>
        <w:footnoteRef/>
      </w:r>
      <w:r>
        <w:t xml:space="preserve"> Cooperation on the exchange of information in the notification phase has been described </w:t>
      </w:r>
      <w:r w:rsidRPr="00273984">
        <w:rPr>
          <w:color w:val="833C0B" w:themeColor="accent2" w:themeShade="80"/>
        </w:rPr>
        <w:t xml:space="preserve">in Section 6.2. </w:t>
      </w:r>
    </w:p>
  </w:footnote>
  <w:footnote w:id="16">
    <w:p w14:paraId="65740978" w14:textId="77777777" w:rsidR="00C16EA7" w:rsidRPr="00DE4621" w:rsidRDefault="00C16EA7" w:rsidP="00DE4621">
      <w:pPr>
        <w:spacing w:after="0" w:line="240" w:lineRule="auto"/>
        <w:rPr>
          <w:color w:val="000000" w:themeColor="text1"/>
          <w:sz w:val="20"/>
          <w:szCs w:val="20"/>
        </w:rPr>
      </w:pPr>
      <w:r w:rsidRPr="00DE4621">
        <w:rPr>
          <w:rStyle w:val="FootnoteReference"/>
          <w:sz w:val="20"/>
          <w:szCs w:val="20"/>
        </w:rPr>
        <w:footnoteRef/>
      </w:r>
      <w:r w:rsidRPr="00DE4621">
        <w:rPr>
          <w:sz w:val="20"/>
          <w:szCs w:val="20"/>
        </w:rPr>
        <w:t xml:space="preserve"> E</w:t>
      </w:r>
      <w:r w:rsidRPr="00DE4621">
        <w:rPr>
          <w:color w:val="000000" w:themeColor="text1"/>
          <w:sz w:val="20"/>
          <w:szCs w:val="20"/>
        </w:rPr>
        <w:t>xperience with the implementation of Espoo Convention shows</w:t>
      </w:r>
      <w:r>
        <w:rPr>
          <w:color w:val="000000" w:themeColor="text1"/>
          <w:sz w:val="20"/>
          <w:szCs w:val="20"/>
        </w:rPr>
        <w:t xml:space="preserve">, for example, that </w:t>
      </w:r>
      <w:r w:rsidRPr="00DE4621">
        <w:rPr>
          <w:color w:val="000000" w:themeColor="text1"/>
          <w:sz w:val="20"/>
          <w:szCs w:val="20"/>
        </w:rPr>
        <w:t>very few Parties carried out post-project analyses in the period 2013–2015.</w:t>
      </w:r>
    </w:p>
    <w:p w14:paraId="2F9C2539" w14:textId="77777777" w:rsidR="00C16EA7" w:rsidRDefault="00C16EA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630"/>
    <w:multiLevelType w:val="hybridMultilevel"/>
    <w:tmpl w:val="65F021AA"/>
    <w:lvl w:ilvl="0" w:tplc="241A0015">
      <w:start w:val="1"/>
      <w:numFmt w:val="upperLetter"/>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5F11811"/>
    <w:multiLevelType w:val="hybridMultilevel"/>
    <w:tmpl w:val="EC94ACFC"/>
    <w:lvl w:ilvl="0" w:tplc="7F4E4ECC">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8BB2CFA"/>
    <w:multiLevelType w:val="hybridMultilevel"/>
    <w:tmpl w:val="F3EEB272"/>
    <w:lvl w:ilvl="0" w:tplc="33F0F6E2">
      <w:numFmt w:val="bullet"/>
      <w:lvlText w:val="-"/>
      <w:lvlJc w:val="left"/>
      <w:pPr>
        <w:ind w:left="720" w:hanging="360"/>
      </w:pPr>
      <w:rPr>
        <w:rFonts w:ascii="Corbel" w:eastAsiaTheme="minorHAnsi" w:hAnsi="Corbel"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AE17C1F"/>
    <w:multiLevelType w:val="hybridMultilevel"/>
    <w:tmpl w:val="2B3266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F7A7191"/>
    <w:multiLevelType w:val="hybridMultilevel"/>
    <w:tmpl w:val="10DC3AD4"/>
    <w:lvl w:ilvl="0" w:tplc="BC2A0E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03897"/>
    <w:multiLevelType w:val="hybridMultilevel"/>
    <w:tmpl w:val="ECA61F16"/>
    <w:lvl w:ilvl="0" w:tplc="080863D0">
      <w:start w:val="1"/>
      <w:numFmt w:val="bullet"/>
      <w:pStyle w:val="Bullet"/>
      <w:lvlText w:val=""/>
      <w:lvlJc w:val="left"/>
      <w:pPr>
        <w:ind w:left="3414" w:hanging="360"/>
      </w:pPr>
      <w:rPr>
        <w:rFonts w:ascii="Symbol" w:hAnsi="Symbol" w:hint="default"/>
      </w:rPr>
    </w:lvl>
    <w:lvl w:ilvl="1" w:tplc="041A0003">
      <w:start w:val="1"/>
      <w:numFmt w:val="bullet"/>
      <w:lvlText w:val="o"/>
      <w:lvlJc w:val="left"/>
      <w:pPr>
        <w:ind w:left="4134" w:hanging="360"/>
      </w:pPr>
      <w:rPr>
        <w:rFonts w:ascii="Courier New" w:hAnsi="Courier New" w:hint="default"/>
      </w:rPr>
    </w:lvl>
    <w:lvl w:ilvl="2" w:tplc="041A0005" w:tentative="1">
      <w:start w:val="1"/>
      <w:numFmt w:val="bullet"/>
      <w:lvlText w:val=""/>
      <w:lvlJc w:val="left"/>
      <w:pPr>
        <w:ind w:left="4854" w:hanging="360"/>
      </w:pPr>
      <w:rPr>
        <w:rFonts w:ascii="Wingdings" w:hAnsi="Wingdings" w:hint="default"/>
      </w:rPr>
    </w:lvl>
    <w:lvl w:ilvl="3" w:tplc="041A0001" w:tentative="1">
      <w:start w:val="1"/>
      <w:numFmt w:val="bullet"/>
      <w:lvlText w:val=""/>
      <w:lvlJc w:val="left"/>
      <w:pPr>
        <w:ind w:left="5574" w:hanging="360"/>
      </w:pPr>
      <w:rPr>
        <w:rFonts w:ascii="Symbol" w:hAnsi="Symbol" w:hint="default"/>
      </w:rPr>
    </w:lvl>
    <w:lvl w:ilvl="4" w:tplc="041A0003" w:tentative="1">
      <w:start w:val="1"/>
      <w:numFmt w:val="bullet"/>
      <w:lvlText w:val="o"/>
      <w:lvlJc w:val="left"/>
      <w:pPr>
        <w:ind w:left="6294" w:hanging="360"/>
      </w:pPr>
      <w:rPr>
        <w:rFonts w:ascii="Courier New" w:hAnsi="Courier New" w:hint="default"/>
      </w:rPr>
    </w:lvl>
    <w:lvl w:ilvl="5" w:tplc="041A0005" w:tentative="1">
      <w:start w:val="1"/>
      <w:numFmt w:val="bullet"/>
      <w:lvlText w:val=""/>
      <w:lvlJc w:val="left"/>
      <w:pPr>
        <w:ind w:left="7014" w:hanging="360"/>
      </w:pPr>
      <w:rPr>
        <w:rFonts w:ascii="Wingdings" w:hAnsi="Wingdings" w:hint="default"/>
      </w:rPr>
    </w:lvl>
    <w:lvl w:ilvl="6" w:tplc="041A0001" w:tentative="1">
      <w:start w:val="1"/>
      <w:numFmt w:val="bullet"/>
      <w:lvlText w:val=""/>
      <w:lvlJc w:val="left"/>
      <w:pPr>
        <w:ind w:left="7734" w:hanging="360"/>
      </w:pPr>
      <w:rPr>
        <w:rFonts w:ascii="Symbol" w:hAnsi="Symbol" w:hint="default"/>
      </w:rPr>
    </w:lvl>
    <w:lvl w:ilvl="7" w:tplc="041A0003" w:tentative="1">
      <w:start w:val="1"/>
      <w:numFmt w:val="bullet"/>
      <w:lvlText w:val="o"/>
      <w:lvlJc w:val="left"/>
      <w:pPr>
        <w:ind w:left="8454" w:hanging="360"/>
      </w:pPr>
      <w:rPr>
        <w:rFonts w:ascii="Courier New" w:hAnsi="Courier New" w:hint="default"/>
      </w:rPr>
    </w:lvl>
    <w:lvl w:ilvl="8" w:tplc="041A0005" w:tentative="1">
      <w:start w:val="1"/>
      <w:numFmt w:val="bullet"/>
      <w:lvlText w:val=""/>
      <w:lvlJc w:val="left"/>
      <w:pPr>
        <w:ind w:left="9174" w:hanging="360"/>
      </w:pPr>
      <w:rPr>
        <w:rFonts w:ascii="Wingdings" w:hAnsi="Wingdings" w:hint="default"/>
      </w:rPr>
    </w:lvl>
  </w:abstractNum>
  <w:abstractNum w:abstractNumId="6" w15:restartNumberingAfterBreak="0">
    <w:nsid w:val="26DD197E"/>
    <w:multiLevelType w:val="hybridMultilevel"/>
    <w:tmpl w:val="5216A3B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26E13578"/>
    <w:multiLevelType w:val="hybridMultilevel"/>
    <w:tmpl w:val="DC9CC9AA"/>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28A56E5D"/>
    <w:multiLevelType w:val="multilevel"/>
    <w:tmpl w:val="2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99D18FF"/>
    <w:multiLevelType w:val="multilevel"/>
    <w:tmpl w:val="950C5B0C"/>
    <w:lvl w:ilvl="0">
      <w:start w:val="1"/>
      <w:numFmt w:val="decimal"/>
      <w:lvlText w:val="%1."/>
      <w:lvlJc w:val="left"/>
      <w:pPr>
        <w:ind w:left="720" w:hanging="360"/>
      </w:pPr>
      <w:rPr>
        <w:rFonts w:hint="default"/>
      </w:rPr>
    </w:lvl>
    <w:lvl w:ilvl="1">
      <w:start w:val="14"/>
      <w:numFmt w:val="decimal"/>
      <w:isLgl/>
      <w:lvlText w:val="%1.%2"/>
      <w:lvlJc w:val="left"/>
      <w:pPr>
        <w:ind w:left="800" w:hanging="440"/>
      </w:pPr>
      <w:rPr>
        <w:rFonts w:asciiTheme="minorHAnsi" w:hAnsiTheme="minorHAnsi" w:cstheme="minorHAnsi" w:hint="default"/>
        <w:i w:val="0"/>
      </w:rPr>
    </w:lvl>
    <w:lvl w:ilvl="2">
      <w:start w:val="1"/>
      <w:numFmt w:val="decimal"/>
      <w:isLgl/>
      <w:lvlText w:val="%1.%2.%3"/>
      <w:lvlJc w:val="left"/>
      <w:pPr>
        <w:ind w:left="1080" w:hanging="720"/>
      </w:pPr>
      <w:rPr>
        <w:rFonts w:asciiTheme="minorHAnsi" w:hAnsiTheme="minorHAnsi" w:cstheme="minorHAnsi" w:hint="default"/>
        <w:i w:val="0"/>
      </w:rPr>
    </w:lvl>
    <w:lvl w:ilvl="3">
      <w:start w:val="1"/>
      <w:numFmt w:val="decimal"/>
      <w:isLgl/>
      <w:lvlText w:val="%1.%2.%3.%4"/>
      <w:lvlJc w:val="left"/>
      <w:pPr>
        <w:ind w:left="1080" w:hanging="720"/>
      </w:pPr>
      <w:rPr>
        <w:rFonts w:asciiTheme="minorHAnsi" w:hAnsiTheme="minorHAnsi" w:cstheme="minorHAnsi" w:hint="default"/>
        <w:i w:val="0"/>
      </w:rPr>
    </w:lvl>
    <w:lvl w:ilvl="4">
      <w:start w:val="1"/>
      <w:numFmt w:val="decimal"/>
      <w:isLgl/>
      <w:lvlText w:val="%1.%2.%3.%4.%5"/>
      <w:lvlJc w:val="left"/>
      <w:pPr>
        <w:ind w:left="1440" w:hanging="1080"/>
      </w:pPr>
      <w:rPr>
        <w:rFonts w:asciiTheme="minorHAnsi" w:hAnsiTheme="minorHAnsi" w:cstheme="minorHAnsi" w:hint="default"/>
        <w:i w:val="0"/>
      </w:rPr>
    </w:lvl>
    <w:lvl w:ilvl="5">
      <w:start w:val="1"/>
      <w:numFmt w:val="decimal"/>
      <w:isLgl/>
      <w:lvlText w:val="%1.%2.%3.%4.%5.%6"/>
      <w:lvlJc w:val="left"/>
      <w:pPr>
        <w:ind w:left="1440" w:hanging="1080"/>
      </w:pPr>
      <w:rPr>
        <w:rFonts w:asciiTheme="minorHAnsi" w:hAnsiTheme="minorHAnsi" w:cstheme="minorHAnsi" w:hint="default"/>
        <w:i w:val="0"/>
      </w:rPr>
    </w:lvl>
    <w:lvl w:ilvl="6">
      <w:start w:val="1"/>
      <w:numFmt w:val="decimal"/>
      <w:isLgl/>
      <w:lvlText w:val="%1.%2.%3.%4.%5.%6.%7"/>
      <w:lvlJc w:val="left"/>
      <w:pPr>
        <w:ind w:left="1800" w:hanging="1440"/>
      </w:pPr>
      <w:rPr>
        <w:rFonts w:asciiTheme="minorHAnsi" w:hAnsiTheme="minorHAnsi" w:cstheme="minorHAnsi" w:hint="default"/>
        <w:i w:val="0"/>
      </w:rPr>
    </w:lvl>
    <w:lvl w:ilvl="7">
      <w:start w:val="1"/>
      <w:numFmt w:val="decimal"/>
      <w:isLgl/>
      <w:lvlText w:val="%1.%2.%3.%4.%5.%6.%7.%8"/>
      <w:lvlJc w:val="left"/>
      <w:pPr>
        <w:ind w:left="1800" w:hanging="1440"/>
      </w:pPr>
      <w:rPr>
        <w:rFonts w:asciiTheme="minorHAnsi" w:hAnsiTheme="minorHAnsi" w:cstheme="minorHAnsi" w:hint="default"/>
        <w:i w:val="0"/>
      </w:rPr>
    </w:lvl>
    <w:lvl w:ilvl="8">
      <w:start w:val="1"/>
      <w:numFmt w:val="decimal"/>
      <w:isLgl/>
      <w:lvlText w:val="%1.%2.%3.%4.%5.%6.%7.%8.%9"/>
      <w:lvlJc w:val="left"/>
      <w:pPr>
        <w:ind w:left="1800" w:hanging="1440"/>
      </w:pPr>
      <w:rPr>
        <w:rFonts w:asciiTheme="minorHAnsi" w:hAnsiTheme="minorHAnsi" w:cstheme="minorHAnsi" w:hint="default"/>
        <w:i w:val="0"/>
      </w:rPr>
    </w:lvl>
  </w:abstractNum>
  <w:abstractNum w:abstractNumId="10" w15:restartNumberingAfterBreak="0">
    <w:nsid w:val="29C931B4"/>
    <w:multiLevelType w:val="hybridMultilevel"/>
    <w:tmpl w:val="F94429CE"/>
    <w:lvl w:ilvl="0" w:tplc="7F4E4ECC">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2AD570B3"/>
    <w:multiLevelType w:val="hybridMultilevel"/>
    <w:tmpl w:val="96AA8B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2B907193"/>
    <w:multiLevelType w:val="hybridMultilevel"/>
    <w:tmpl w:val="F2809866"/>
    <w:lvl w:ilvl="0" w:tplc="F72AB304">
      <w:start w:val="1"/>
      <w:numFmt w:val="decimal"/>
      <w:pStyle w:val="BodyTextNumbers"/>
      <w:lvlText w:val="%1."/>
      <w:lvlJc w:val="left"/>
      <w:pPr>
        <w:tabs>
          <w:tab w:val="num" w:pos="720"/>
        </w:tabs>
        <w:ind w:left="720" w:hanging="720"/>
      </w:pPr>
      <w:rPr>
        <w:rFonts w:ascii="Arial" w:hAnsi="Arial" w:cs="Times New Roman"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7B1ACD"/>
    <w:multiLevelType w:val="hybridMultilevel"/>
    <w:tmpl w:val="65F021AA"/>
    <w:lvl w:ilvl="0" w:tplc="241A0015">
      <w:start w:val="1"/>
      <w:numFmt w:val="upperLetter"/>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D6D4939"/>
    <w:multiLevelType w:val="hybridMultilevel"/>
    <w:tmpl w:val="A774995C"/>
    <w:lvl w:ilvl="0" w:tplc="7F4E4ECC">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44096198"/>
    <w:multiLevelType w:val="hybridMultilevel"/>
    <w:tmpl w:val="90BCE9AA"/>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47500F0C"/>
    <w:multiLevelType w:val="hybridMultilevel"/>
    <w:tmpl w:val="59C07604"/>
    <w:lvl w:ilvl="0" w:tplc="7F4E4E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690A6E"/>
    <w:multiLevelType w:val="hybridMultilevel"/>
    <w:tmpl w:val="70A84CEE"/>
    <w:lvl w:ilvl="0" w:tplc="7F4E4ECC">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4CC01FCE"/>
    <w:multiLevelType w:val="hybridMultilevel"/>
    <w:tmpl w:val="9D44DCC2"/>
    <w:lvl w:ilvl="0" w:tplc="7F4E4ECC">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4FCA3EA5"/>
    <w:multiLevelType w:val="hybridMultilevel"/>
    <w:tmpl w:val="01E05734"/>
    <w:lvl w:ilvl="0" w:tplc="7F4E4ECC">
      <w:start w:val="1"/>
      <w:numFmt w:val="bullet"/>
      <w:lvlText w:val=""/>
      <w:lvlJc w:val="left"/>
      <w:pPr>
        <w:ind w:left="757" w:hanging="360"/>
      </w:pPr>
      <w:rPr>
        <w:rFonts w:ascii="Wingdings" w:hAnsi="Wingdings" w:hint="default"/>
        <w:color w:val="auto"/>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0" w15:restartNumberingAfterBreak="0">
    <w:nsid w:val="56065C72"/>
    <w:multiLevelType w:val="hybridMultilevel"/>
    <w:tmpl w:val="F6ACC694"/>
    <w:lvl w:ilvl="0" w:tplc="7F4E4ECC">
      <w:start w:val="1"/>
      <w:numFmt w:val="bullet"/>
      <w:lvlText w:val=""/>
      <w:lvlJc w:val="left"/>
      <w:pPr>
        <w:ind w:left="399" w:hanging="360"/>
      </w:pPr>
      <w:rPr>
        <w:rFonts w:ascii="Wingdings" w:hAnsi="Wingdings" w:hint="default"/>
        <w:color w:val="auto"/>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21" w15:restartNumberingAfterBreak="0">
    <w:nsid w:val="66326059"/>
    <w:multiLevelType w:val="hybridMultilevel"/>
    <w:tmpl w:val="06ECD15A"/>
    <w:lvl w:ilvl="0" w:tplc="7F4E4E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FF5E9F"/>
    <w:multiLevelType w:val="hybridMultilevel"/>
    <w:tmpl w:val="A24491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6C8B5349"/>
    <w:multiLevelType w:val="hybridMultilevel"/>
    <w:tmpl w:val="C7D6F9D4"/>
    <w:lvl w:ilvl="0" w:tplc="7F4E4ECC">
      <w:start w:val="1"/>
      <w:numFmt w:val="bullet"/>
      <w:lvlText w:val=""/>
      <w:lvlJc w:val="left"/>
      <w:pPr>
        <w:ind w:left="720" w:hanging="360"/>
      </w:pPr>
      <w:rPr>
        <w:rFonts w:ascii="Wingdings" w:hAnsi="Wingdings" w:hint="default"/>
        <w:color w:val="auto"/>
      </w:rPr>
    </w:lvl>
    <w:lvl w:ilvl="1" w:tplc="7F4E4ECC">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735BEC"/>
    <w:multiLevelType w:val="hybridMultilevel"/>
    <w:tmpl w:val="A2CA9D74"/>
    <w:lvl w:ilvl="0" w:tplc="7F4E4E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0D3EB8"/>
    <w:multiLevelType w:val="hybridMultilevel"/>
    <w:tmpl w:val="B8120118"/>
    <w:lvl w:ilvl="0" w:tplc="E55A3CF4">
      <w:start w:val="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770D71B8"/>
    <w:multiLevelType w:val="hybridMultilevel"/>
    <w:tmpl w:val="0D7EE8F4"/>
    <w:lvl w:ilvl="0" w:tplc="7F4E4ECC">
      <w:start w:val="1"/>
      <w:numFmt w:val="bullet"/>
      <w:lvlText w:val=""/>
      <w:lvlJc w:val="left"/>
      <w:pPr>
        <w:ind w:left="630" w:hanging="360"/>
      </w:pPr>
      <w:rPr>
        <w:rFonts w:ascii="Wingdings" w:hAnsi="Wingdings" w:hint="default"/>
        <w:color w:val="auto"/>
      </w:rPr>
    </w:lvl>
    <w:lvl w:ilvl="1" w:tplc="041A0003">
      <w:start w:val="1"/>
      <w:numFmt w:val="bullet"/>
      <w:lvlText w:val="o"/>
      <w:lvlJc w:val="left"/>
      <w:pPr>
        <w:ind w:left="1350" w:hanging="360"/>
      </w:pPr>
      <w:rPr>
        <w:rFonts w:ascii="Courier New" w:hAnsi="Courier New" w:hint="default"/>
      </w:rPr>
    </w:lvl>
    <w:lvl w:ilvl="2" w:tplc="041A0005" w:tentative="1">
      <w:start w:val="1"/>
      <w:numFmt w:val="bullet"/>
      <w:lvlText w:val=""/>
      <w:lvlJc w:val="left"/>
      <w:pPr>
        <w:ind w:left="2070" w:hanging="360"/>
      </w:pPr>
      <w:rPr>
        <w:rFonts w:ascii="Wingdings" w:hAnsi="Wingdings" w:hint="default"/>
      </w:rPr>
    </w:lvl>
    <w:lvl w:ilvl="3" w:tplc="041A0001" w:tentative="1">
      <w:start w:val="1"/>
      <w:numFmt w:val="bullet"/>
      <w:lvlText w:val=""/>
      <w:lvlJc w:val="left"/>
      <w:pPr>
        <w:ind w:left="2790" w:hanging="360"/>
      </w:pPr>
      <w:rPr>
        <w:rFonts w:ascii="Symbol" w:hAnsi="Symbol" w:hint="default"/>
      </w:rPr>
    </w:lvl>
    <w:lvl w:ilvl="4" w:tplc="041A0003" w:tentative="1">
      <w:start w:val="1"/>
      <w:numFmt w:val="bullet"/>
      <w:lvlText w:val="o"/>
      <w:lvlJc w:val="left"/>
      <w:pPr>
        <w:ind w:left="3510" w:hanging="360"/>
      </w:pPr>
      <w:rPr>
        <w:rFonts w:ascii="Courier New" w:hAnsi="Courier New" w:hint="default"/>
      </w:rPr>
    </w:lvl>
    <w:lvl w:ilvl="5" w:tplc="041A0005" w:tentative="1">
      <w:start w:val="1"/>
      <w:numFmt w:val="bullet"/>
      <w:lvlText w:val=""/>
      <w:lvlJc w:val="left"/>
      <w:pPr>
        <w:ind w:left="4230" w:hanging="360"/>
      </w:pPr>
      <w:rPr>
        <w:rFonts w:ascii="Wingdings" w:hAnsi="Wingdings" w:hint="default"/>
      </w:rPr>
    </w:lvl>
    <w:lvl w:ilvl="6" w:tplc="041A0001" w:tentative="1">
      <w:start w:val="1"/>
      <w:numFmt w:val="bullet"/>
      <w:lvlText w:val=""/>
      <w:lvlJc w:val="left"/>
      <w:pPr>
        <w:ind w:left="4950" w:hanging="360"/>
      </w:pPr>
      <w:rPr>
        <w:rFonts w:ascii="Symbol" w:hAnsi="Symbol" w:hint="default"/>
      </w:rPr>
    </w:lvl>
    <w:lvl w:ilvl="7" w:tplc="041A0003" w:tentative="1">
      <w:start w:val="1"/>
      <w:numFmt w:val="bullet"/>
      <w:lvlText w:val="o"/>
      <w:lvlJc w:val="left"/>
      <w:pPr>
        <w:ind w:left="5670" w:hanging="360"/>
      </w:pPr>
      <w:rPr>
        <w:rFonts w:ascii="Courier New" w:hAnsi="Courier New" w:hint="default"/>
      </w:rPr>
    </w:lvl>
    <w:lvl w:ilvl="8" w:tplc="041A0005" w:tentative="1">
      <w:start w:val="1"/>
      <w:numFmt w:val="bullet"/>
      <w:lvlText w:val=""/>
      <w:lvlJc w:val="left"/>
      <w:pPr>
        <w:ind w:left="6390" w:hanging="360"/>
      </w:pPr>
      <w:rPr>
        <w:rFonts w:ascii="Wingdings" w:hAnsi="Wingdings" w:hint="default"/>
      </w:rPr>
    </w:lvl>
  </w:abstractNum>
  <w:abstractNum w:abstractNumId="27" w15:restartNumberingAfterBreak="0">
    <w:nsid w:val="7881386A"/>
    <w:multiLevelType w:val="multilevel"/>
    <w:tmpl w:val="0EDC6E32"/>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EC4E8E"/>
    <w:multiLevelType w:val="hybridMultilevel"/>
    <w:tmpl w:val="B784EBB0"/>
    <w:lvl w:ilvl="0" w:tplc="241A0019">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7A6D0A81"/>
    <w:multiLevelType w:val="hybridMultilevel"/>
    <w:tmpl w:val="A5BE070C"/>
    <w:lvl w:ilvl="0" w:tplc="DC924B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642D5D"/>
    <w:multiLevelType w:val="hybridMultilevel"/>
    <w:tmpl w:val="F19CA8B6"/>
    <w:lvl w:ilvl="0" w:tplc="7F4E4ECC">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27"/>
  </w:num>
  <w:num w:numId="5">
    <w:abstractNumId w:val="19"/>
  </w:num>
  <w:num w:numId="6">
    <w:abstractNumId w:val="21"/>
  </w:num>
  <w:num w:numId="7">
    <w:abstractNumId w:val="16"/>
  </w:num>
  <w:num w:numId="8">
    <w:abstractNumId w:val="23"/>
  </w:num>
  <w:num w:numId="9">
    <w:abstractNumId w:val="24"/>
  </w:num>
  <w:num w:numId="10">
    <w:abstractNumId w:val="20"/>
  </w:num>
  <w:num w:numId="11">
    <w:abstractNumId w:val="5"/>
  </w:num>
  <w:num w:numId="12">
    <w:abstractNumId w:val="26"/>
  </w:num>
  <w:num w:numId="13">
    <w:abstractNumId w:val="25"/>
  </w:num>
  <w:num w:numId="14">
    <w:abstractNumId w:val="28"/>
  </w:num>
  <w:num w:numId="15">
    <w:abstractNumId w:val="0"/>
  </w:num>
  <w:num w:numId="16">
    <w:abstractNumId w:val="13"/>
  </w:num>
  <w:num w:numId="17">
    <w:abstractNumId w:val="11"/>
  </w:num>
  <w:num w:numId="18">
    <w:abstractNumId w:val="7"/>
  </w:num>
  <w:num w:numId="19">
    <w:abstractNumId w:val="14"/>
  </w:num>
  <w:num w:numId="20">
    <w:abstractNumId w:val="17"/>
  </w:num>
  <w:num w:numId="21">
    <w:abstractNumId w:val="22"/>
  </w:num>
  <w:num w:numId="22">
    <w:abstractNumId w:val="15"/>
  </w:num>
  <w:num w:numId="23">
    <w:abstractNumId w:val="29"/>
  </w:num>
  <w:num w:numId="24">
    <w:abstractNumId w:val="2"/>
  </w:num>
  <w:num w:numId="25">
    <w:abstractNumId w:val="1"/>
  </w:num>
  <w:num w:numId="26">
    <w:abstractNumId w:val="10"/>
  </w:num>
  <w:num w:numId="27">
    <w:abstractNumId w:val="18"/>
  </w:num>
  <w:num w:numId="28">
    <w:abstractNumId w:val="30"/>
  </w:num>
  <w:num w:numId="29">
    <w:abstractNumId w:val="3"/>
  </w:num>
  <w:num w:numId="30">
    <w:abstractNumId w:val="6"/>
  </w:num>
  <w:num w:numId="31">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C53"/>
    <w:rsid w:val="00004FC1"/>
    <w:rsid w:val="00007882"/>
    <w:rsid w:val="0001037C"/>
    <w:rsid w:val="00012114"/>
    <w:rsid w:val="00012B1B"/>
    <w:rsid w:val="00016B1F"/>
    <w:rsid w:val="000229F0"/>
    <w:rsid w:val="00025C13"/>
    <w:rsid w:val="000341EC"/>
    <w:rsid w:val="00040714"/>
    <w:rsid w:val="00043C19"/>
    <w:rsid w:val="00044F6F"/>
    <w:rsid w:val="0004761D"/>
    <w:rsid w:val="000744DC"/>
    <w:rsid w:val="000759D5"/>
    <w:rsid w:val="0007686E"/>
    <w:rsid w:val="000772F2"/>
    <w:rsid w:val="00077573"/>
    <w:rsid w:val="000815C7"/>
    <w:rsid w:val="000821B3"/>
    <w:rsid w:val="000859F7"/>
    <w:rsid w:val="00085A76"/>
    <w:rsid w:val="00095A37"/>
    <w:rsid w:val="000A2539"/>
    <w:rsid w:val="000B7B4A"/>
    <w:rsid w:val="000C27D0"/>
    <w:rsid w:val="000C3AEE"/>
    <w:rsid w:val="000C483B"/>
    <w:rsid w:val="000E4DEA"/>
    <w:rsid w:val="000E588E"/>
    <w:rsid w:val="000E7F71"/>
    <w:rsid w:val="000F3EE8"/>
    <w:rsid w:val="000F4BD9"/>
    <w:rsid w:val="000F611D"/>
    <w:rsid w:val="00103F9C"/>
    <w:rsid w:val="001047E1"/>
    <w:rsid w:val="00104E19"/>
    <w:rsid w:val="001056E5"/>
    <w:rsid w:val="001111DA"/>
    <w:rsid w:val="00111A0F"/>
    <w:rsid w:val="001128D7"/>
    <w:rsid w:val="001167CD"/>
    <w:rsid w:val="001179C7"/>
    <w:rsid w:val="00123980"/>
    <w:rsid w:val="00136BF2"/>
    <w:rsid w:val="00144110"/>
    <w:rsid w:val="0014424B"/>
    <w:rsid w:val="0014550C"/>
    <w:rsid w:val="0014621C"/>
    <w:rsid w:val="00146E78"/>
    <w:rsid w:val="00151D0C"/>
    <w:rsid w:val="00157957"/>
    <w:rsid w:val="0016547C"/>
    <w:rsid w:val="00167339"/>
    <w:rsid w:val="00170338"/>
    <w:rsid w:val="00170CCC"/>
    <w:rsid w:val="00173C46"/>
    <w:rsid w:val="001849A5"/>
    <w:rsid w:val="00185981"/>
    <w:rsid w:val="00193749"/>
    <w:rsid w:val="00194833"/>
    <w:rsid w:val="00195C37"/>
    <w:rsid w:val="001A231E"/>
    <w:rsid w:val="001A4614"/>
    <w:rsid w:val="001B2662"/>
    <w:rsid w:val="001B329F"/>
    <w:rsid w:val="001B4EDB"/>
    <w:rsid w:val="001D486E"/>
    <w:rsid w:val="001D631D"/>
    <w:rsid w:val="001D7703"/>
    <w:rsid w:val="001F03B5"/>
    <w:rsid w:val="001F0A7A"/>
    <w:rsid w:val="001F30D2"/>
    <w:rsid w:val="0020178B"/>
    <w:rsid w:val="00207D09"/>
    <w:rsid w:val="00215A3E"/>
    <w:rsid w:val="00215E1E"/>
    <w:rsid w:val="002171DE"/>
    <w:rsid w:val="00220091"/>
    <w:rsid w:val="00223790"/>
    <w:rsid w:val="00224725"/>
    <w:rsid w:val="002249BD"/>
    <w:rsid w:val="00227738"/>
    <w:rsid w:val="002335AF"/>
    <w:rsid w:val="00234848"/>
    <w:rsid w:val="002536BD"/>
    <w:rsid w:val="00254F25"/>
    <w:rsid w:val="0026646C"/>
    <w:rsid w:val="0027077A"/>
    <w:rsid w:val="00271DB4"/>
    <w:rsid w:val="00273984"/>
    <w:rsid w:val="00290447"/>
    <w:rsid w:val="002921AC"/>
    <w:rsid w:val="002921B7"/>
    <w:rsid w:val="002929A6"/>
    <w:rsid w:val="00294B4C"/>
    <w:rsid w:val="002A2673"/>
    <w:rsid w:val="002A4FF0"/>
    <w:rsid w:val="002A5C17"/>
    <w:rsid w:val="002A7EB5"/>
    <w:rsid w:val="002B1984"/>
    <w:rsid w:val="002C1F07"/>
    <w:rsid w:val="002C2694"/>
    <w:rsid w:val="002D1E97"/>
    <w:rsid w:val="002D363D"/>
    <w:rsid w:val="002D4CE0"/>
    <w:rsid w:val="002D5409"/>
    <w:rsid w:val="002E6048"/>
    <w:rsid w:val="002F7CA4"/>
    <w:rsid w:val="0030148B"/>
    <w:rsid w:val="00304A04"/>
    <w:rsid w:val="00314462"/>
    <w:rsid w:val="00327FED"/>
    <w:rsid w:val="00346133"/>
    <w:rsid w:val="00347274"/>
    <w:rsid w:val="00347F75"/>
    <w:rsid w:val="00352751"/>
    <w:rsid w:val="00356CFD"/>
    <w:rsid w:val="00360AB6"/>
    <w:rsid w:val="00365775"/>
    <w:rsid w:val="00365D52"/>
    <w:rsid w:val="00372087"/>
    <w:rsid w:val="003726E8"/>
    <w:rsid w:val="00374DC3"/>
    <w:rsid w:val="00386443"/>
    <w:rsid w:val="00390F19"/>
    <w:rsid w:val="003942DF"/>
    <w:rsid w:val="003A0527"/>
    <w:rsid w:val="003A2A17"/>
    <w:rsid w:val="003B3002"/>
    <w:rsid w:val="003C041B"/>
    <w:rsid w:val="003C315E"/>
    <w:rsid w:val="003C4AC7"/>
    <w:rsid w:val="003E5187"/>
    <w:rsid w:val="003F1424"/>
    <w:rsid w:val="003F513C"/>
    <w:rsid w:val="00404F68"/>
    <w:rsid w:val="004120C5"/>
    <w:rsid w:val="00413B64"/>
    <w:rsid w:val="004150B7"/>
    <w:rsid w:val="00416BC4"/>
    <w:rsid w:val="00422006"/>
    <w:rsid w:val="00422C66"/>
    <w:rsid w:val="00424DC9"/>
    <w:rsid w:val="004269E1"/>
    <w:rsid w:val="00430914"/>
    <w:rsid w:val="00432B53"/>
    <w:rsid w:val="0043380E"/>
    <w:rsid w:val="004366E4"/>
    <w:rsid w:val="0043783C"/>
    <w:rsid w:val="00442F01"/>
    <w:rsid w:val="004449C7"/>
    <w:rsid w:val="004476A4"/>
    <w:rsid w:val="004506AB"/>
    <w:rsid w:val="004530EB"/>
    <w:rsid w:val="00453336"/>
    <w:rsid w:val="0046433E"/>
    <w:rsid w:val="00474DBB"/>
    <w:rsid w:val="00475E81"/>
    <w:rsid w:val="004824FA"/>
    <w:rsid w:val="00483321"/>
    <w:rsid w:val="00484139"/>
    <w:rsid w:val="00486A8D"/>
    <w:rsid w:val="00492362"/>
    <w:rsid w:val="00494656"/>
    <w:rsid w:val="004A3010"/>
    <w:rsid w:val="004A7925"/>
    <w:rsid w:val="004B08EC"/>
    <w:rsid w:val="004B4119"/>
    <w:rsid w:val="004B4B25"/>
    <w:rsid w:val="004C0165"/>
    <w:rsid w:val="004C0D81"/>
    <w:rsid w:val="004C1A16"/>
    <w:rsid w:val="004C2D9E"/>
    <w:rsid w:val="004C5920"/>
    <w:rsid w:val="004C6440"/>
    <w:rsid w:val="004C7793"/>
    <w:rsid w:val="004D0E88"/>
    <w:rsid w:val="004D33B2"/>
    <w:rsid w:val="004D6F35"/>
    <w:rsid w:val="004E36D9"/>
    <w:rsid w:val="004E3E11"/>
    <w:rsid w:val="005028DC"/>
    <w:rsid w:val="00502DFA"/>
    <w:rsid w:val="00512416"/>
    <w:rsid w:val="0051798C"/>
    <w:rsid w:val="00527AD3"/>
    <w:rsid w:val="00536B8B"/>
    <w:rsid w:val="00544C7D"/>
    <w:rsid w:val="00545265"/>
    <w:rsid w:val="00546018"/>
    <w:rsid w:val="00550067"/>
    <w:rsid w:val="0055210D"/>
    <w:rsid w:val="0055226B"/>
    <w:rsid w:val="00557EE9"/>
    <w:rsid w:val="00567806"/>
    <w:rsid w:val="005703B4"/>
    <w:rsid w:val="00571F02"/>
    <w:rsid w:val="00586457"/>
    <w:rsid w:val="00591537"/>
    <w:rsid w:val="00595935"/>
    <w:rsid w:val="00595D1B"/>
    <w:rsid w:val="005A000D"/>
    <w:rsid w:val="005A4B5C"/>
    <w:rsid w:val="005A4EA5"/>
    <w:rsid w:val="005A682A"/>
    <w:rsid w:val="005B2F4A"/>
    <w:rsid w:val="005B5604"/>
    <w:rsid w:val="005C1795"/>
    <w:rsid w:val="005C1F41"/>
    <w:rsid w:val="005D5A17"/>
    <w:rsid w:val="005D5A77"/>
    <w:rsid w:val="005D5C44"/>
    <w:rsid w:val="005F2444"/>
    <w:rsid w:val="005F3CDE"/>
    <w:rsid w:val="00601D5D"/>
    <w:rsid w:val="00606EDE"/>
    <w:rsid w:val="00607D42"/>
    <w:rsid w:val="006117A2"/>
    <w:rsid w:val="00615099"/>
    <w:rsid w:val="0063081D"/>
    <w:rsid w:val="006332D7"/>
    <w:rsid w:val="00637054"/>
    <w:rsid w:val="006405C5"/>
    <w:rsid w:val="0064082A"/>
    <w:rsid w:val="0064084B"/>
    <w:rsid w:val="00642F49"/>
    <w:rsid w:val="00645549"/>
    <w:rsid w:val="0064614E"/>
    <w:rsid w:val="00650A05"/>
    <w:rsid w:val="00651F6D"/>
    <w:rsid w:val="006530FB"/>
    <w:rsid w:val="00664540"/>
    <w:rsid w:val="00671A82"/>
    <w:rsid w:val="00673E22"/>
    <w:rsid w:val="00674C2E"/>
    <w:rsid w:val="00674DE9"/>
    <w:rsid w:val="00680380"/>
    <w:rsid w:val="00690119"/>
    <w:rsid w:val="00692579"/>
    <w:rsid w:val="00692F64"/>
    <w:rsid w:val="00694E0C"/>
    <w:rsid w:val="006973CB"/>
    <w:rsid w:val="006A0099"/>
    <w:rsid w:val="006A41E6"/>
    <w:rsid w:val="006A57EA"/>
    <w:rsid w:val="006B3A41"/>
    <w:rsid w:val="006B5BCE"/>
    <w:rsid w:val="006B68D6"/>
    <w:rsid w:val="006B7E92"/>
    <w:rsid w:val="006C0AE8"/>
    <w:rsid w:val="006C3530"/>
    <w:rsid w:val="006C5836"/>
    <w:rsid w:val="006D140A"/>
    <w:rsid w:val="006D33ED"/>
    <w:rsid w:val="006E32F3"/>
    <w:rsid w:val="006E38A1"/>
    <w:rsid w:val="006F2A43"/>
    <w:rsid w:val="006F7047"/>
    <w:rsid w:val="006F711A"/>
    <w:rsid w:val="00701A98"/>
    <w:rsid w:val="00701DF2"/>
    <w:rsid w:val="0070222B"/>
    <w:rsid w:val="007048DB"/>
    <w:rsid w:val="00706A0F"/>
    <w:rsid w:val="007222F8"/>
    <w:rsid w:val="007226F9"/>
    <w:rsid w:val="00726F02"/>
    <w:rsid w:val="00732EB8"/>
    <w:rsid w:val="00741C9B"/>
    <w:rsid w:val="00744AB0"/>
    <w:rsid w:val="00756120"/>
    <w:rsid w:val="00757C55"/>
    <w:rsid w:val="0076152B"/>
    <w:rsid w:val="0076258B"/>
    <w:rsid w:val="00775787"/>
    <w:rsid w:val="007805E8"/>
    <w:rsid w:val="007827B4"/>
    <w:rsid w:val="00790D4C"/>
    <w:rsid w:val="007935F3"/>
    <w:rsid w:val="00794AD3"/>
    <w:rsid w:val="007C0F81"/>
    <w:rsid w:val="007C6CF1"/>
    <w:rsid w:val="007D48ED"/>
    <w:rsid w:val="007D7179"/>
    <w:rsid w:val="007E14A6"/>
    <w:rsid w:val="007E5CA9"/>
    <w:rsid w:val="007F2378"/>
    <w:rsid w:val="0080431A"/>
    <w:rsid w:val="008052FA"/>
    <w:rsid w:val="00811A32"/>
    <w:rsid w:val="00811A58"/>
    <w:rsid w:val="0081313C"/>
    <w:rsid w:val="00833162"/>
    <w:rsid w:val="008362E9"/>
    <w:rsid w:val="00852774"/>
    <w:rsid w:val="00854617"/>
    <w:rsid w:val="00857449"/>
    <w:rsid w:val="008600EB"/>
    <w:rsid w:val="008652FC"/>
    <w:rsid w:val="0087410C"/>
    <w:rsid w:val="00886118"/>
    <w:rsid w:val="00893288"/>
    <w:rsid w:val="008963ED"/>
    <w:rsid w:val="0089721B"/>
    <w:rsid w:val="008A3032"/>
    <w:rsid w:val="008A3DF8"/>
    <w:rsid w:val="008B3927"/>
    <w:rsid w:val="008B6CA9"/>
    <w:rsid w:val="008C7453"/>
    <w:rsid w:val="008D496E"/>
    <w:rsid w:val="008D4D3E"/>
    <w:rsid w:val="008D55FB"/>
    <w:rsid w:val="008D6309"/>
    <w:rsid w:val="008E2648"/>
    <w:rsid w:val="008E5DEC"/>
    <w:rsid w:val="008E7640"/>
    <w:rsid w:val="008E7B4E"/>
    <w:rsid w:val="008F0B5F"/>
    <w:rsid w:val="00900A07"/>
    <w:rsid w:val="00902622"/>
    <w:rsid w:val="00902BEE"/>
    <w:rsid w:val="009032D3"/>
    <w:rsid w:val="00903E1A"/>
    <w:rsid w:val="00930312"/>
    <w:rsid w:val="009311AC"/>
    <w:rsid w:val="0093168F"/>
    <w:rsid w:val="0093451D"/>
    <w:rsid w:val="009414AE"/>
    <w:rsid w:val="00944BA2"/>
    <w:rsid w:val="00950C37"/>
    <w:rsid w:val="009561D8"/>
    <w:rsid w:val="00960B45"/>
    <w:rsid w:val="0096273D"/>
    <w:rsid w:val="00962920"/>
    <w:rsid w:val="00967FFE"/>
    <w:rsid w:val="00976C19"/>
    <w:rsid w:val="00977E1F"/>
    <w:rsid w:val="009801AA"/>
    <w:rsid w:val="00981801"/>
    <w:rsid w:val="0098328E"/>
    <w:rsid w:val="009842DE"/>
    <w:rsid w:val="00986AD7"/>
    <w:rsid w:val="009875C9"/>
    <w:rsid w:val="00995844"/>
    <w:rsid w:val="009A4A2B"/>
    <w:rsid w:val="009A6688"/>
    <w:rsid w:val="009A72E1"/>
    <w:rsid w:val="009B7712"/>
    <w:rsid w:val="009C6242"/>
    <w:rsid w:val="009D2B82"/>
    <w:rsid w:val="009D2E32"/>
    <w:rsid w:val="009E3680"/>
    <w:rsid w:val="009E585C"/>
    <w:rsid w:val="009F04A7"/>
    <w:rsid w:val="009F6921"/>
    <w:rsid w:val="009F720A"/>
    <w:rsid w:val="00A00815"/>
    <w:rsid w:val="00A156C6"/>
    <w:rsid w:val="00A20426"/>
    <w:rsid w:val="00A32109"/>
    <w:rsid w:val="00A345E1"/>
    <w:rsid w:val="00A37F0E"/>
    <w:rsid w:val="00A4056D"/>
    <w:rsid w:val="00A446E3"/>
    <w:rsid w:val="00A50F89"/>
    <w:rsid w:val="00A52A91"/>
    <w:rsid w:val="00A53996"/>
    <w:rsid w:val="00A550A4"/>
    <w:rsid w:val="00A61080"/>
    <w:rsid w:val="00A61E1B"/>
    <w:rsid w:val="00A6304C"/>
    <w:rsid w:val="00A63AA3"/>
    <w:rsid w:val="00A644AF"/>
    <w:rsid w:val="00A674B8"/>
    <w:rsid w:val="00A7590B"/>
    <w:rsid w:val="00A85277"/>
    <w:rsid w:val="00A9369B"/>
    <w:rsid w:val="00AA630C"/>
    <w:rsid w:val="00AC0246"/>
    <w:rsid w:val="00AC32D8"/>
    <w:rsid w:val="00AC37AD"/>
    <w:rsid w:val="00AC6334"/>
    <w:rsid w:val="00AD01AC"/>
    <w:rsid w:val="00AD2941"/>
    <w:rsid w:val="00AD52B0"/>
    <w:rsid w:val="00AE2F9C"/>
    <w:rsid w:val="00AF5A85"/>
    <w:rsid w:val="00AF6EED"/>
    <w:rsid w:val="00B0377A"/>
    <w:rsid w:val="00B04EA0"/>
    <w:rsid w:val="00B07F5C"/>
    <w:rsid w:val="00B14CCD"/>
    <w:rsid w:val="00B27CCB"/>
    <w:rsid w:val="00B30B26"/>
    <w:rsid w:val="00B42453"/>
    <w:rsid w:val="00B515F9"/>
    <w:rsid w:val="00B61126"/>
    <w:rsid w:val="00B63793"/>
    <w:rsid w:val="00B71895"/>
    <w:rsid w:val="00B80007"/>
    <w:rsid w:val="00B80CCA"/>
    <w:rsid w:val="00B82E2F"/>
    <w:rsid w:val="00B8642E"/>
    <w:rsid w:val="00B917DF"/>
    <w:rsid w:val="00B966AA"/>
    <w:rsid w:val="00BA1A6A"/>
    <w:rsid w:val="00BA626A"/>
    <w:rsid w:val="00BB1C8A"/>
    <w:rsid w:val="00BB6480"/>
    <w:rsid w:val="00BC05BF"/>
    <w:rsid w:val="00BC28CE"/>
    <w:rsid w:val="00BD6BE1"/>
    <w:rsid w:val="00BF255D"/>
    <w:rsid w:val="00BF7586"/>
    <w:rsid w:val="00C01F2B"/>
    <w:rsid w:val="00C032D3"/>
    <w:rsid w:val="00C03E1D"/>
    <w:rsid w:val="00C11755"/>
    <w:rsid w:val="00C13CF4"/>
    <w:rsid w:val="00C16EA7"/>
    <w:rsid w:val="00C2299B"/>
    <w:rsid w:val="00C23E6D"/>
    <w:rsid w:val="00C26793"/>
    <w:rsid w:val="00C27EF1"/>
    <w:rsid w:val="00C3401C"/>
    <w:rsid w:val="00C3678D"/>
    <w:rsid w:val="00C37273"/>
    <w:rsid w:val="00C410B9"/>
    <w:rsid w:val="00C454F9"/>
    <w:rsid w:val="00C47743"/>
    <w:rsid w:val="00C52E50"/>
    <w:rsid w:val="00C56A9D"/>
    <w:rsid w:val="00C572E3"/>
    <w:rsid w:val="00C606B7"/>
    <w:rsid w:val="00C614FC"/>
    <w:rsid w:val="00C63FF8"/>
    <w:rsid w:val="00C6485A"/>
    <w:rsid w:val="00C6795F"/>
    <w:rsid w:val="00C70D55"/>
    <w:rsid w:val="00C72086"/>
    <w:rsid w:val="00C74151"/>
    <w:rsid w:val="00C847C1"/>
    <w:rsid w:val="00C847F3"/>
    <w:rsid w:val="00C87750"/>
    <w:rsid w:val="00C9563E"/>
    <w:rsid w:val="00CA750C"/>
    <w:rsid w:val="00CB0561"/>
    <w:rsid w:val="00CB6A95"/>
    <w:rsid w:val="00CC0C4E"/>
    <w:rsid w:val="00CC1B3E"/>
    <w:rsid w:val="00CC3BD3"/>
    <w:rsid w:val="00CC67F4"/>
    <w:rsid w:val="00CD38ED"/>
    <w:rsid w:val="00CD4620"/>
    <w:rsid w:val="00CE0B1F"/>
    <w:rsid w:val="00CE16FD"/>
    <w:rsid w:val="00CE1B54"/>
    <w:rsid w:val="00CE6B17"/>
    <w:rsid w:val="00CE7AAD"/>
    <w:rsid w:val="00CE7C53"/>
    <w:rsid w:val="00CF0EAA"/>
    <w:rsid w:val="00CF3129"/>
    <w:rsid w:val="00CF7BA1"/>
    <w:rsid w:val="00D01A17"/>
    <w:rsid w:val="00D04AB5"/>
    <w:rsid w:val="00D1015C"/>
    <w:rsid w:val="00D140FA"/>
    <w:rsid w:val="00D16FC3"/>
    <w:rsid w:val="00D25D50"/>
    <w:rsid w:val="00D262C5"/>
    <w:rsid w:val="00D32EC8"/>
    <w:rsid w:val="00D42B95"/>
    <w:rsid w:val="00D4558A"/>
    <w:rsid w:val="00D51BE8"/>
    <w:rsid w:val="00D56572"/>
    <w:rsid w:val="00D5675C"/>
    <w:rsid w:val="00D627EE"/>
    <w:rsid w:val="00D62E2B"/>
    <w:rsid w:val="00D65135"/>
    <w:rsid w:val="00D76F1B"/>
    <w:rsid w:val="00D81343"/>
    <w:rsid w:val="00D86682"/>
    <w:rsid w:val="00D87EBA"/>
    <w:rsid w:val="00DA1DBC"/>
    <w:rsid w:val="00DB066A"/>
    <w:rsid w:val="00DB3C95"/>
    <w:rsid w:val="00DC4DC2"/>
    <w:rsid w:val="00DC7D21"/>
    <w:rsid w:val="00DD39DB"/>
    <w:rsid w:val="00DD4396"/>
    <w:rsid w:val="00DE171B"/>
    <w:rsid w:val="00DE30D7"/>
    <w:rsid w:val="00DE4621"/>
    <w:rsid w:val="00DE4F3B"/>
    <w:rsid w:val="00DE6540"/>
    <w:rsid w:val="00DF678E"/>
    <w:rsid w:val="00E01162"/>
    <w:rsid w:val="00E01D5A"/>
    <w:rsid w:val="00E03670"/>
    <w:rsid w:val="00E110B6"/>
    <w:rsid w:val="00E146B1"/>
    <w:rsid w:val="00E20284"/>
    <w:rsid w:val="00E20942"/>
    <w:rsid w:val="00E21E70"/>
    <w:rsid w:val="00E25C8C"/>
    <w:rsid w:val="00E37A37"/>
    <w:rsid w:val="00E45BD5"/>
    <w:rsid w:val="00E53FD2"/>
    <w:rsid w:val="00E56317"/>
    <w:rsid w:val="00E61F17"/>
    <w:rsid w:val="00E65F18"/>
    <w:rsid w:val="00E67886"/>
    <w:rsid w:val="00E72412"/>
    <w:rsid w:val="00E81D81"/>
    <w:rsid w:val="00E81F2F"/>
    <w:rsid w:val="00E82125"/>
    <w:rsid w:val="00E84447"/>
    <w:rsid w:val="00E87A1F"/>
    <w:rsid w:val="00E941F4"/>
    <w:rsid w:val="00E96F54"/>
    <w:rsid w:val="00EA25B8"/>
    <w:rsid w:val="00EA70E4"/>
    <w:rsid w:val="00EB5FAF"/>
    <w:rsid w:val="00EB7A04"/>
    <w:rsid w:val="00EC24AC"/>
    <w:rsid w:val="00EC3810"/>
    <w:rsid w:val="00EE71B8"/>
    <w:rsid w:val="00EF0374"/>
    <w:rsid w:val="00EF5134"/>
    <w:rsid w:val="00F04F3E"/>
    <w:rsid w:val="00F1301E"/>
    <w:rsid w:val="00F154A4"/>
    <w:rsid w:val="00F227CE"/>
    <w:rsid w:val="00F27150"/>
    <w:rsid w:val="00F42E37"/>
    <w:rsid w:val="00F43549"/>
    <w:rsid w:val="00F452CF"/>
    <w:rsid w:val="00F4535D"/>
    <w:rsid w:val="00F45ED6"/>
    <w:rsid w:val="00F5258A"/>
    <w:rsid w:val="00F5566E"/>
    <w:rsid w:val="00F57320"/>
    <w:rsid w:val="00F619FA"/>
    <w:rsid w:val="00F64D41"/>
    <w:rsid w:val="00F67ACD"/>
    <w:rsid w:val="00F70762"/>
    <w:rsid w:val="00F754D6"/>
    <w:rsid w:val="00F84BCD"/>
    <w:rsid w:val="00F85852"/>
    <w:rsid w:val="00F871CB"/>
    <w:rsid w:val="00F91C97"/>
    <w:rsid w:val="00F92E1B"/>
    <w:rsid w:val="00F962EE"/>
    <w:rsid w:val="00FA1871"/>
    <w:rsid w:val="00FA37D1"/>
    <w:rsid w:val="00FA4806"/>
    <w:rsid w:val="00FA4ED7"/>
    <w:rsid w:val="00FA7A35"/>
    <w:rsid w:val="00FB0C83"/>
    <w:rsid w:val="00FB2C60"/>
    <w:rsid w:val="00FB5962"/>
    <w:rsid w:val="00FB6578"/>
    <w:rsid w:val="00FB65F8"/>
    <w:rsid w:val="00FD14AD"/>
    <w:rsid w:val="00FD5A69"/>
    <w:rsid w:val="00FD723C"/>
    <w:rsid w:val="00FF26B6"/>
    <w:rsid w:val="00FF372C"/>
    <w:rsid w:val="00FF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94F8"/>
  <w15:docId w15:val="{F77C02E0-5D4A-408D-A661-B8EC55B2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5E1"/>
    <w:rPr>
      <w:lang w:val="en-GB"/>
    </w:rPr>
  </w:style>
  <w:style w:type="paragraph" w:styleId="Heading1">
    <w:name w:val="heading 1"/>
    <w:basedOn w:val="Normal"/>
    <w:next w:val="Normal"/>
    <w:link w:val="Heading1Char"/>
    <w:uiPriority w:val="9"/>
    <w:qFormat/>
    <w:rsid w:val="00981801"/>
    <w:pPr>
      <w:keepNext/>
      <w:keepLines/>
      <w:numPr>
        <w:numId w:val="1"/>
      </w:numPr>
      <w:spacing w:before="240" w:after="0"/>
      <w:outlineLvl w:val="0"/>
    </w:pPr>
    <w:rPr>
      <w:rFonts w:asciiTheme="majorHAnsi" w:eastAsiaTheme="majorEastAsia" w:hAnsiTheme="majorHAnsi" w:cstheme="majorBidi"/>
      <w:b/>
      <w:color w:val="000000" w:themeColor="text1"/>
      <w:sz w:val="26"/>
      <w:szCs w:val="32"/>
    </w:rPr>
  </w:style>
  <w:style w:type="paragraph" w:styleId="Heading2">
    <w:name w:val="heading 2"/>
    <w:basedOn w:val="Normal"/>
    <w:next w:val="Normal"/>
    <w:link w:val="Heading2Char"/>
    <w:uiPriority w:val="9"/>
    <w:unhideWhenUsed/>
    <w:qFormat/>
    <w:rsid w:val="004B4B25"/>
    <w:pPr>
      <w:keepNext/>
      <w:keepLines/>
      <w:numPr>
        <w:ilvl w:val="1"/>
        <w:numId w:val="1"/>
      </w:numPr>
      <w:spacing w:before="40" w:after="0"/>
      <w:outlineLvl w:val="1"/>
    </w:pPr>
    <w:rPr>
      <w:rFonts w:asciiTheme="majorHAnsi" w:eastAsiaTheme="majorEastAsia" w:hAnsiTheme="majorHAnsi" w:cstheme="majorBidi"/>
      <w:b/>
      <w:color w:val="000000" w:themeColor="text1"/>
      <w:sz w:val="24"/>
      <w:szCs w:val="26"/>
      <w:u w:val="single"/>
    </w:rPr>
  </w:style>
  <w:style w:type="paragraph" w:styleId="Heading3">
    <w:name w:val="heading 3"/>
    <w:basedOn w:val="Normal"/>
    <w:next w:val="Normal"/>
    <w:link w:val="Heading3Char"/>
    <w:uiPriority w:val="9"/>
    <w:semiHidden/>
    <w:unhideWhenUsed/>
    <w:qFormat/>
    <w:rsid w:val="00C6795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6795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6795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6795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6795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6795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795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801"/>
    <w:rPr>
      <w:rFonts w:asciiTheme="majorHAnsi" w:eastAsiaTheme="majorEastAsia" w:hAnsiTheme="majorHAnsi" w:cstheme="majorBidi"/>
      <w:b/>
      <w:color w:val="000000" w:themeColor="text1"/>
      <w:sz w:val="26"/>
      <w:szCs w:val="32"/>
      <w:lang w:val="en-GB"/>
    </w:rPr>
  </w:style>
  <w:style w:type="character" w:customStyle="1" w:styleId="Heading2Char">
    <w:name w:val="Heading 2 Char"/>
    <w:basedOn w:val="DefaultParagraphFont"/>
    <w:link w:val="Heading2"/>
    <w:uiPriority w:val="9"/>
    <w:rsid w:val="004B4B25"/>
    <w:rPr>
      <w:rFonts w:asciiTheme="majorHAnsi" w:eastAsiaTheme="majorEastAsia" w:hAnsiTheme="majorHAnsi" w:cstheme="majorBidi"/>
      <w:b/>
      <w:color w:val="000000" w:themeColor="text1"/>
      <w:sz w:val="24"/>
      <w:szCs w:val="26"/>
      <w:u w:val="single"/>
      <w:lang w:val="en-GB"/>
    </w:rPr>
  </w:style>
  <w:style w:type="character" w:customStyle="1" w:styleId="Heading3Char">
    <w:name w:val="Heading 3 Char"/>
    <w:basedOn w:val="DefaultParagraphFont"/>
    <w:link w:val="Heading3"/>
    <w:uiPriority w:val="9"/>
    <w:semiHidden/>
    <w:rsid w:val="00C6795F"/>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C6795F"/>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C6795F"/>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C6795F"/>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C6795F"/>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C6795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6795F"/>
    <w:rPr>
      <w:rFonts w:asciiTheme="majorHAnsi" w:eastAsiaTheme="majorEastAsia" w:hAnsiTheme="majorHAnsi" w:cstheme="majorBidi"/>
      <w:i/>
      <w:iCs/>
      <w:color w:val="272727" w:themeColor="text1" w:themeTint="D8"/>
      <w:sz w:val="21"/>
      <w:szCs w:val="21"/>
      <w:lang w:val="en-GB"/>
    </w:rPr>
  </w:style>
  <w:style w:type="paragraph" w:styleId="ListParagraph">
    <w:name w:val="List Paragraph"/>
    <w:aliases w:val="Bullets,References,List Paragraph (numbered (a))"/>
    <w:basedOn w:val="Normal"/>
    <w:link w:val="ListParagraphChar"/>
    <w:uiPriority w:val="34"/>
    <w:qFormat/>
    <w:rsid w:val="0051798C"/>
    <w:pPr>
      <w:ind w:left="720"/>
      <w:contextualSpacing/>
    </w:pPr>
  </w:style>
  <w:style w:type="paragraph" w:styleId="BalloonText">
    <w:name w:val="Balloon Text"/>
    <w:basedOn w:val="Normal"/>
    <w:link w:val="BalloonTextChar"/>
    <w:uiPriority w:val="99"/>
    <w:semiHidden/>
    <w:rsid w:val="0051798C"/>
    <w:pPr>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51798C"/>
    <w:rPr>
      <w:rFonts w:ascii="Segoe UI" w:eastAsia="Calibri" w:hAnsi="Segoe UI" w:cs="Segoe UI"/>
      <w:sz w:val="18"/>
      <w:szCs w:val="18"/>
      <w:lang w:val="en-US"/>
    </w:rPr>
  </w:style>
  <w:style w:type="paragraph" w:customStyle="1" w:styleId="BodyTextNumbers">
    <w:name w:val="Body Text Numbers"/>
    <w:basedOn w:val="BodyText"/>
    <w:uiPriority w:val="99"/>
    <w:rsid w:val="0051798C"/>
    <w:pPr>
      <w:numPr>
        <w:numId w:val="2"/>
      </w:numPr>
      <w:tabs>
        <w:tab w:val="clear" w:pos="720"/>
        <w:tab w:val="num" w:pos="504"/>
      </w:tabs>
      <w:spacing w:line="240" w:lineRule="auto"/>
      <w:ind w:left="0" w:firstLine="0"/>
    </w:pPr>
    <w:rPr>
      <w:rFonts w:ascii="Arial" w:eastAsia="Times New Roman" w:hAnsi="Arial" w:cs="Times New Roman"/>
      <w:noProof/>
      <w:szCs w:val="20"/>
      <w:lang w:val="en-US"/>
    </w:rPr>
  </w:style>
  <w:style w:type="paragraph" w:styleId="BodyText">
    <w:name w:val="Body Text"/>
    <w:basedOn w:val="Normal"/>
    <w:link w:val="BodyTextChar"/>
    <w:uiPriority w:val="99"/>
    <w:semiHidden/>
    <w:unhideWhenUsed/>
    <w:rsid w:val="0051798C"/>
    <w:pPr>
      <w:spacing w:after="120"/>
    </w:pPr>
  </w:style>
  <w:style w:type="character" w:customStyle="1" w:styleId="BodyTextChar">
    <w:name w:val="Body Text Char"/>
    <w:basedOn w:val="DefaultParagraphFont"/>
    <w:link w:val="BodyText"/>
    <w:uiPriority w:val="99"/>
    <w:semiHidden/>
    <w:rsid w:val="0051798C"/>
  </w:style>
  <w:style w:type="table" w:styleId="TableGrid">
    <w:name w:val="Table Grid"/>
    <w:basedOn w:val="TableNormal"/>
    <w:uiPriority w:val="39"/>
    <w:rsid w:val="0030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4FC1"/>
    <w:rPr>
      <w:color w:val="0563C1" w:themeColor="hyperlink"/>
      <w:u w:val="single"/>
    </w:rPr>
  </w:style>
  <w:style w:type="paragraph" w:styleId="Revision">
    <w:name w:val="Revision"/>
    <w:hidden/>
    <w:uiPriority w:val="99"/>
    <w:semiHidden/>
    <w:rsid w:val="00615099"/>
    <w:pPr>
      <w:spacing w:after="0" w:line="240" w:lineRule="auto"/>
    </w:pPr>
    <w:rPr>
      <w:lang w:val="en-GB"/>
    </w:rPr>
  </w:style>
  <w:style w:type="character" w:styleId="CommentReference">
    <w:name w:val="annotation reference"/>
    <w:basedOn w:val="DefaultParagraphFont"/>
    <w:uiPriority w:val="99"/>
    <w:semiHidden/>
    <w:unhideWhenUsed/>
    <w:rsid w:val="00234848"/>
    <w:rPr>
      <w:sz w:val="16"/>
      <w:szCs w:val="16"/>
    </w:rPr>
  </w:style>
  <w:style w:type="paragraph" w:styleId="CommentText">
    <w:name w:val="annotation text"/>
    <w:basedOn w:val="Normal"/>
    <w:link w:val="CommentTextChar"/>
    <w:uiPriority w:val="99"/>
    <w:unhideWhenUsed/>
    <w:rsid w:val="00234848"/>
    <w:pPr>
      <w:spacing w:line="240" w:lineRule="auto"/>
    </w:pPr>
    <w:rPr>
      <w:sz w:val="20"/>
      <w:szCs w:val="20"/>
    </w:rPr>
  </w:style>
  <w:style w:type="character" w:customStyle="1" w:styleId="CommentTextChar">
    <w:name w:val="Comment Text Char"/>
    <w:basedOn w:val="DefaultParagraphFont"/>
    <w:link w:val="CommentText"/>
    <w:uiPriority w:val="99"/>
    <w:rsid w:val="00234848"/>
    <w:rPr>
      <w:sz w:val="20"/>
      <w:szCs w:val="20"/>
      <w:lang w:val="en-GB"/>
    </w:rPr>
  </w:style>
  <w:style w:type="paragraph" w:styleId="CommentSubject">
    <w:name w:val="annotation subject"/>
    <w:basedOn w:val="CommentText"/>
    <w:next w:val="CommentText"/>
    <w:link w:val="CommentSubjectChar"/>
    <w:uiPriority w:val="99"/>
    <w:semiHidden/>
    <w:unhideWhenUsed/>
    <w:rsid w:val="00234848"/>
    <w:rPr>
      <w:b/>
      <w:bCs/>
    </w:rPr>
  </w:style>
  <w:style w:type="character" w:customStyle="1" w:styleId="CommentSubjectChar">
    <w:name w:val="Comment Subject Char"/>
    <w:basedOn w:val="CommentTextChar"/>
    <w:link w:val="CommentSubject"/>
    <w:uiPriority w:val="99"/>
    <w:semiHidden/>
    <w:rsid w:val="00234848"/>
    <w:rPr>
      <w:b/>
      <w:bCs/>
      <w:sz w:val="20"/>
      <w:szCs w:val="20"/>
      <w:lang w:val="en-GB"/>
    </w:rPr>
  </w:style>
  <w:style w:type="paragraph" w:styleId="FootnoteText">
    <w:name w:val="footnote text"/>
    <w:basedOn w:val="Normal"/>
    <w:link w:val="FootnoteTextChar"/>
    <w:uiPriority w:val="99"/>
    <w:unhideWhenUsed/>
    <w:rsid w:val="00474DBB"/>
    <w:pPr>
      <w:spacing w:after="0" w:line="240" w:lineRule="auto"/>
    </w:pPr>
    <w:rPr>
      <w:sz w:val="20"/>
      <w:szCs w:val="20"/>
    </w:rPr>
  </w:style>
  <w:style w:type="character" w:customStyle="1" w:styleId="FootnoteTextChar">
    <w:name w:val="Footnote Text Char"/>
    <w:basedOn w:val="DefaultParagraphFont"/>
    <w:link w:val="FootnoteText"/>
    <w:uiPriority w:val="99"/>
    <w:rsid w:val="00474DBB"/>
    <w:rPr>
      <w:sz w:val="20"/>
      <w:szCs w:val="20"/>
      <w:lang w:val="en-GB"/>
    </w:rPr>
  </w:style>
  <w:style w:type="character" w:styleId="FootnoteReference">
    <w:name w:val="footnote reference"/>
    <w:aliases w:val="stylish"/>
    <w:basedOn w:val="DefaultParagraphFont"/>
    <w:uiPriority w:val="99"/>
    <w:unhideWhenUsed/>
    <w:rsid w:val="00474DBB"/>
    <w:rPr>
      <w:vertAlign w:val="superscript"/>
    </w:rPr>
  </w:style>
  <w:style w:type="paragraph" w:styleId="TOCHeading">
    <w:name w:val="TOC Heading"/>
    <w:basedOn w:val="Heading1"/>
    <w:next w:val="Normal"/>
    <w:uiPriority w:val="39"/>
    <w:unhideWhenUsed/>
    <w:qFormat/>
    <w:rsid w:val="007F2378"/>
    <w:pPr>
      <w:numPr>
        <w:numId w:val="0"/>
      </w:numPr>
      <w:outlineLvl w:val="9"/>
    </w:pPr>
    <w:rPr>
      <w:b w:val="0"/>
      <w:color w:val="2E74B5" w:themeColor="accent1" w:themeShade="BF"/>
      <w:sz w:val="32"/>
      <w:lang w:val="en-US"/>
    </w:rPr>
  </w:style>
  <w:style w:type="paragraph" w:styleId="TOC1">
    <w:name w:val="toc 1"/>
    <w:basedOn w:val="Normal"/>
    <w:next w:val="Normal"/>
    <w:autoRedefine/>
    <w:uiPriority w:val="39"/>
    <w:unhideWhenUsed/>
    <w:rsid w:val="007F2378"/>
    <w:pPr>
      <w:spacing w:after="100"/>
    </w:pPr>
  </w:style>
  <w:style w:type="paragraph" w:styleId="TOC2">
    <w:name w:val="toc 2"/>
    <w:basedOn w:val="Normal"/>
    <w:next w:val="Normal"/>
    <w:autoRedefine/>
    <w:uiPriority w:val="39"/>
    <w:unhideWhenUsed/>
    <w:rsid w:val="007F2378"/>
    <w:pPr>
      <w:spacing w:after="100"/>
      <w:ind w:left="220"/>
    </w:pPr>
  </w:style>
  <w:style w:type="paragraph" w:styleId="Caption">
    <w:name w:val="caption"/>
    <w:basedOn w:val="Normal"/>
    <w:next w:val="Normal"/>
    <w:uiPriority w:val="35"/>
    <w:unhideWhenUsed/>
    <w:qFormat/>
    <w:rsid w:val="00EF037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0229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29F0"/>
    <w:rPr>
      <w:lang w:val="en-GB"/>
    </w:rPr>
  </w:style>
  <w:style w:type="paragraph" w:styleId="Footer">
    <w:name w:val="footer"/>
    <w:basedOn w:val="Normal"/>
    <w:link w:val="FooterChar"/>
    <w:uiPriority w:val="99"/>
    <w:unhideWhenUsed/>
    <w:rsid w:val="000229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29F0"/>
    <w:rPr>
      <w:lang w:val="en-GB"/>
    </w:rPr>
  </w:style>
  <w:style w:type="character" w:customStyle="1" w:styleId="ListParagraphChar">
    <w:name w:val="List Paragraph Char"/>
    <w:aliases w:val="Bullets Char,References Char,List Paragraph (numbered (a)) Char"/>
    <w:basedOn w:val="DefaultParagraphFont"/>
    <w:link w:val="ListParagraph"/>
    <w:uiPriority w:val="34"/>
    <w:locked/>
    <w:rsid w:val="00422006"/>
    <w:rPr>
      <w:lang w:val="en-GB"/>
    </w:rPr>
  </w:style>
  <w:style w:type="paragraph" w:customStyle="1" w:styleId="Bullet">
    <w:name w:val="Bullet"/>
    <w:basedOn w:val="ListParagraph"/>
    <w:uiPriority w:val="99"/>
    <w:rsid w:val="00494656"/>
    <w:pPr>
      <w:numPr>
        <w:numId w:val="11"/>
      </w:numPr>
      <w:spacing w:before="120" w:after="0" w:line="240" w:lineRule="auto"/>
      <w:contextualSpacing w:val="0"/>
    </w:pPr>
    <w:rPr>
      <w:rFonts w:ascii="Times New Roman" w:eastAsia="Calibri" w:hAnsi="Times New Roman" w:cs="Times New Roman"/>
    </w:rPr>
  </w:style>
  <w:style w:type="paragraph" w:styleId="NormalWeb">
    <w:name w:val="Normal (Web)"/>
    <w:basedOn w:val="Normal"/>
    <w:uiPriority w:val="99"/>
    <w:semiHidden/>
    <w:unhideWhenUsed/>
    <w:rsid w:val="005124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2416"/>
    <w:rPr>
      <w:b/>
      <w:bCs/>
    </w:rPr>
  </w:style>
  <w:style w:type="paragraph" w:customStyle="1" w:styleId="Default">
    <w:name w:val="Default"/>
    <w:rsid w:val="00043C19"/>
    <w:pPr>
      <w:autoSpaceDE w:val="0"/>
      <w:autoSpaceDN w:val="0"/>
      <w:adjustRightInd w:val="0"/>
      <w:spacing w:after="0" w:line="240" w:lineRule="auto"/>
    </w:pPr>
    <w:rPr>
      <w:rFonts w:ascii="Times New Roman" w:eastAsia="Times New Roman" w:hAnsi="Times New Roman" w:cs="Times New Roman"/>
      <w:color w:val="000000"/>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2610">
      <w:bodyDiv w:val="1"/>
      <w:marLeft w:val="0"/>
      <w:marRight w:val="0"/>
      <w:marTop w:val="0"/>
      <w:marBottom w:val="0"/>
      <w:divBdr>
        <w:top w:val="none" w:sz="0" w:space="0" w:color="auto"/>
        <w:left w:val="none" w:sz="0" w:space="0" w:color="auto"/>
        <w:bottom w:val="none" w:sz="0" w:space="0" w:color="auto"/>
        <w:right w:val="none" w:sz="0" w:space="0" w:color="auto"/>
      </w:divBdr>
    </w:div>
    <w:div w:id="161162833">
      <w:bodyDiv w:val="1"/>
      <w:marLeft w:val="0"/>
      <w:marRight w:val="0"/>
      <w:marTop w:val="0"/>
      <w:marBottom w:val="0"/>
      <w:divBdr>
        <w:top w:val="none" w:sz="0" w:space="0" w:color="auto"/>
        <w:left w:val="none" w:sz="0" w:space="0" w:color="auto"/>
        <w:bottom w:val="none" w:sz="0" w:space="0" w:color="auto"/>
        <w:right w:val="none" w:sz="0" w:space="0" w:color="auto"/>
      </w:divBdr>
    </w:div>
    <w:div w:id="472259131">
      <w:bodyDiv w:val="1"/>
      <w:marLeft w:val="0"/>
      <w:marRight w:val="0"/>
      <w:marTop w:val="0"/>
      <w:marBottom w:val="0"/>
      <w:divBdr>
        <w:top w:val="none" w:sz="0" w:space="0" w:color="auto"/>
        <w:left w:val="none" w:sz="0" w:space="0" w:color="auto"/>
        <w:bottom w:val="none" w:sz="0" w:space="0" w:color="auto"/>
        <w:right w:val="none" w:sz="0" w:space="0" w:color="auto"/>
      </w:divBdr>
    </w:div>
    <w:div w:id="95278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eaties.un.org/Pages/ViewDetails.aspx?src=TREATY&amp;mtdsg_no=XXVII-4-b&amp;chapter=27&amp;clang=_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eaties.un.org/Pages/ViewDetails.aspx?src=TREATY&amp;mtdsg_no=XXVII-4&amp;chapter=27&amp;clang=_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europa.eu/environment/eia/member_states_summari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unep.org/unepmap/who-we-are/legal-framework/status-signatures-and-ratification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urizmi.gov.al/2013-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eia/member_states_summaries.h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EB38C-3818-4747-B2FC-5363404C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13587</Words>
  <Characters>77450</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Markovic</dc:creator>
  <cp:lastModifiedBy>Zeljka Skaricic</cp:lastModifiedBy>
  <cp:revision>4</cp:revision>
  <cp:lastPrinted>2019-04-11T11:37:00Z</cp:lastPrinted>
  <dcterms:created xsi:type="dcterms:W3CDTF">2019-04-11T11:40:00Z</dcterms:created>
  <dcterms:modified xsi:type="dcterms:W3CDTF">2019-04-11T11:43:00Z</dcterms:modified>
</cp:coreProperties>
</file>